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13464" w:rsidR="009B5286" w:rsidP="0041438E" w:rsidRDefault="009B5286" w14:paraId="7E8B541F" w14:textId="77777777">
      <w:pPr>
        <w:pStyle w:val="Title"/>
      </w:pPr>
    </w:p>
    <w:p w:rsidRPr="00E13464" w:rsidR="009104AA" w:rsidP="009104AA" w:rsidRDefault="009567CA" w14:paraId="6DACAC97" w14:textId="7E3A0E55">
      <w:pPr>
        <w:jc w:val="center"/>
      </w:pPr>
      <w:r w:rsidRPr="0007309D">
        <w:rPr>
          <w:noProof/>
        </w:rPr>
        <w:drawing>
          <wp:inline distT="0" distB="0" distL="0" distR="0" wp14:anchorId="6801D32B" wp14:editId="290F183A">
            <wp:extent cx="1362456" cy="1362456"/>
            <wp:effectExtent l="0" t="0" r="0" b="0"/>
            <wp:docPr id="1583727461" name="Picture 158372746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27461" name="Picture 1583727461" descr="A picture containing text, sign, outdoo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456" cy="1362456"/>
                    </a:xfrm>
                    <a:prstGeom prst="rect">
                      <a:avLst/>
                    </a:prstGeom>
                    <a:noFill/>
                  </pic:spPr>
                </pic:pic>
              </a:graphicData>
            </a:graphic>
          </wp:inline>
        </w:drawing>
      </w:r>
      <w:r w:rsidR="009104AA">
        <w:rPr>
          <w:noProof/>
        </w:rPr>
        <w:drawing>
          <wp:inline distT="0" distB="0" distL="0" distR="0" wp14:anchorId="6E588872" wp14:editId="1444E178">
            <wp:extent cx="1056066" cy="1362456"/>
            <wp:effectExtent l="0" t="0" r="0" b="0"/>
            <wp:docPr id="1727437388" name="Picture 17274373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37388" name="Picture 1727437388"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56066" cy="1362456"/>
                    </a:xfrm>
                    <a:prstGeom prst="rect">
                      <a:avLst/>
                    </a:prstGeom>
                  </pic:spPr>
                </pic:pic>
              </a:graphicData>
            </a:graphic>
          </wp:inline>
        </w:drawing>
      </w:r>
    </w:p>
    <w:p w:rsidRPr="00E13464" w:rsidR="00C90221" w:rsidP="0041438E" w:rsidRDefault="00C90221" w14:paraId="01A27D9F" w14:textId="77777777"/>
    <w:p w:rsidRPr="005621DA" w:rsidR="009B5286" w:rsidP="0041438E" w:rsidRDefault="009B5286" w14:paraId="2FEEB1BA" w14:textId="77777777"/>
    <w:p w:rsidRPr="005621DA" w:rsidR="00E1712D" w:rsidP="004C21F5" w:rsidRDefault="00E1712D" w14:paraId="78C7A4D1" w14:textId="1FD4B3EF">
      <w:pPr>
        <w:pBdr>
          <w:bottom w:val="double" w:color="auto" w:sz="4" w:space="1"/>
        </w:pBdr>
        <w:jc w:val="center"/>
        <w:rPr>
          <w:smallCaps/>
        </w:rPr>
      </w:pPr>
      <w:r w:rsidRPr="005621DA">
        <w:rPr>
          <w:smallCaps/>
        </w:rPr>
        <w:t>DOD/CDAO</w:t>
      </w:r>
    </w:p>
    <w:p w:rsidRPr="005621DA" w:rsidR="00A72739" w:rsidP="00A72739" w:rsidRDefault="009B0E0F" w14:paraId="1629E1C0" w14:textId="77777777">
      <w:pPr>
        <w:jc w:val="center"/>
      </w:pPr>
      <w:r w:rsidRPr="005621DA">
        <w:t xml:space="preserve">Operation Vulcan Logic (OVL) </w:t>
      </w:r>
    </w:p>
    <w:p w:rsidRPr="005621DA" w:rsidR="00A72739" w:rsidP="00A72739" w:rsidRDefault="007C32A3" w14:paraId="32E1D3B9" w14:textId="0229916A">
      <w:pPr>
        <w:jc w:val="center"/>
      </w:pPr>
      <w:r w:rsidRPr="005621DA">
        <w:t xml:space="preserve">Cyber Risk Assessor (CRA) </w:t>
      </w:r>
      <w:r w:rsidRPr="005621DA" w:rsidR="005303E9">
        <w:t>Objectives</w:t>
      </w:r>
    </w:p>
    <w:p w:rsidRPr="005621DA" w:rsidR="00CF57BD" w:rsidP="00A72739" w:rsidRDefault="000A474B" w14:paraId="5F6AC39A" w14:textId="698B13ED">
      <w:pPr>
        <w:jc w:val="center"/>
      </w:pPr>
      <w:r w:rsidRPr="005621DA">
        <w:t>V</w:t>
      </w:r>
      <w:r w:rsidR="002C04F1">
        <w:t>2.0</w:t>
      </w:r>
    </w:p>
    <w:p w:rsidRPr="005621DA" w:rsidR="009B5286" w:rsidP="00D041E6" w:rsidRDefault="002C04F1" w14:paraId="3873EC04" w14:textId="18C2F9E5">
      <w:pPr>
        <w:jc w:val="center"/>
      </w:pPr>
      <w:r>
        <w:t>February 2024</w:t>
      </w:r>
    </w:p>
    <w:p w:rsidRPr="005621DA" w:rsidR="00E1712D" w:rsidP="00D041E6" w:rsidRDefault="00E1712D" w14:paraId="1767AF51" w14:textId="77777777">
      <w:pPr>
        <w:jc w:val="center"/>
      </w:pPr>
    </w:p>
    <w:p w:rsidRPr="005621DA" w:rsidR="009B5286" w:rsidP="00D041E6" w:rsidRDefault="009B5286" w14:paraId="52321657" w14:textId="5E43A11D">
      <w:pPr>
        <w:jc w:val="center"/>
      </w:pPr>
    </w:p>
    <w:p w:rsidRPr="005621DA" w:rsidR="009B5286" w:rsidP="00D041E6" w:rsidRDefault="009B5286" w14:paraId="19C2442B" w14:textId="77777777">
      <w:pPr>
        <w:jc w:val="center"/>
      </w:pPr>
    </w:p>
    <w:p w:rsidR="000A3B78" w:rsidP="0041438E" w:rsidRDefault="000A3B78" w14:paraId="02F4C99A" w14:textId="77777777"/>
    <w:p w:rsidRPr="00E13464" w:rsidR="009B5286" w:rsidP="0041438E" w:rsidRDefault="009B5286" w14:paraId="4CBDDFEA" w14:textId="0414D990"/>
    <w:p w:rsidRPr="00E13464" w:rsidR="009B5286" w:rsidP="0041438E" w:rsidRDefault="009B5286" w14:paraId="69DA1A8D" w14:textId="3791BC66"/>
    <w:p w:rsidRPr="00E13464" w:rsidR="009B5286" w:rsidP="0041438E" w:rsidRDefault="009B5286" w14:paraId="6F39838A" w14:textId="77777777"/>
    <w:p w:rsidRPr="00E13464" w:rsidR="009B5286" w:rsidP="0041438E" w:rsidRDefault="009B5286" w14:paraId="7257B898" w14:textId="77777777">
      <w:pPr>
        <w:pStyle w:val="Title"/>
      </w:pPr>
    </w:p>
    <w:p w:rsidRPr="00E13464" w:rsidR="009B5286" w:rsidP="0041438E" w:rsidRDefault="009B5286" w14:paraId="170D7331" w14:textId="77777777">
      <w:pPr>
        <w:pStyle w:val="Title"/>
      </w:pPr>
    </w:p>
    <w:p w:rsidRPr="00E13464" w:rsidR="009B5286" w:rsidP="0041438E" w:rsidRDefault="009B5286" w14:paraId="3F01E4C4" w14:textId="77777777">
      <w:pPr>
        <w:pStyle w:val="Title"/>
      </w:pPr>
    </w:p>
    <w:p w:rsidRPr="00E13464" w:rsidR="00C96207" w:rsidP="0041438E" w:rsidRDefault="00C96207" w14:paraId="2DDBCC83" w14:textId="77777777">
      <w:pPr>
        <w:pStyle w:val="Title"/>
      </w:pPr>
    </w:p>
    <w:p w:rsidRPr="00E13464" w:rsidR="00FE1536" w:rsidP="0041438E" w:rsidRDefault="00FE1536" w14:paraId="5A47E4B7" w14:textId="77777777">
      <w:bookmarkStart w:name="_Toc68513962" w:id="0"/>
      <w:r w:rsidRPr="00E13464">
        <w:br w:type="page"/>
      </w:r>
    </w:p>
    <w:p w:rsidRPr="00E13464" w:rsidR="00C96207" w:rsidP="0041438E" w:rsidRDefault="00C96207" w14:paraId="7958DA3E" w14:textId="7C1F5D36">
      <w:pPr>
        <w:pStyle w:val="Heading1"/>
      </w:pPr>
      <w:bookmarkStart w:name="_Toc134102427" w:id="1"/>
      <w:bookmarkStart w:name="_Toc135740553" w:id="2"/>
      <w:r w:rsidRPr="1ACA3E85">
        <w:lastRenderedPageBreak/>
        <w:t>Version History</w:t>
      </w:r>
      <w:bookmarkEnd w:id="0"/>
      <w:bookmarkEnd w:id="1"/>
      <w:bookmarkEnd w:id="2"/>
    </w:p>
    <w:p w:rsidRPr="00E13464" w:rsidR="00C96207" w:rsidP="0041438E" w:rsidRDefault="00C96207" w14:paraId="60B96F29" w14:textId="29ACD2F9">
      <w:r w:rsidRPr="55B90CE6">
        <w:t>REVISION AND HISTORY PAGE</w:t>
      </w:r>
      <w:r w:rsidRPr="55B90CE6" w:rsidR="00803286">
        <w:t>:</w:t>
      </w:r>
      <w:r w:rsidRPr="55B90CE6">
        <w:t xml:space="preserve"> Revisions and version changes to this document are recorded within the following table. New versions are published when changes to the document equate to 10 percent or greater of the document’s content or if a change requires immediate implementation. This record is maintained throughout the life of the document. </w:t>
      </w:r>
    </w:p>
    <w:p w:rsidRPr="00E13464" w:rsidR="00C96207" w:rsidP="0041438E" w:rsidRDefault="00C96207" w14:paraId="44EA74CD" w14:textId="77777777"/>
    <w:p w:rsidRPr="00E13464" w:rsidR="00C96207" w:rsidP="0041438E" w:rsidRDefault="00C96207" w14:paraId="718FAE71" w14:textId="762A2ADF">
      <w:r w:rsidRPr="55B90CE6">
        <w:t xml:space="preserve">This document will be reviewed at a </w:t>
      </w:r>
      <w:proofErr w:type="gramStart"/>
      <w:r w:rsidRPr="55B90CE6">
        <w:t xml:space="preserve">minimum </w:t>
      </w:r>
      <w:r w:rsidRPr="55B90CE6" w:rsidR="00ED43E0">
        <w:t>of</w:t>
      </w:r>
      <w:proofErr w:type="gramEnd"/>
      <w:r w:rsidRPr="55B90CE6" w:rsidR="00ED43E0">
        <w:t xml:space="preserve"> </w:t>
      </w:r>
      <w:r w:rsidRPr="55B90CE6">
        <w:t>annually.</w:t>
      </w:r>
    </w:p>
    <w:p w:rsidRPr="00E13464" w:rsidR="00FE1536" w:rsidP="0041438E" w:rsidRDefault="00FE1536" w14:paraId="13137586" w14:textId="77777777"/>
    <w:tbl>
      <w:tblPr>
        <w:tblStyle w:val="TableGrid"/>
        <w:tblW w:w="8887" w:type="dxa"/>
        <w:tblInd w:w="108" w:type="dxa"/>
        <w:tblLook w:val="04A0" w:firstRow="1" w:lastRow="0" w:firstColumn="1" w:lastColumn="0" w:noHBand="0" w:noVBand="1"/>
      </w:tblPr>
      <w:tblGrid>
        <w:gridCol w:w="2134"/>
        <w:gridCol w:w="2003"/>
        <w:gridCol w:w="2350"/>
        <w:gridCol w:w="2400"/>
      </w:tblGrid>
      <w:tr w:rsidRPr="00E13464" w:rsidR="00C96207" w:rsidTr="009567CA" w14:paraId="15055C2C" w14:textId="77777777">
        <w:trPr>
          <w:trHeight w:val="384"/>
        </w:trPr>
        <w:tc>
          <w:tcPr>
            <w:tcW w:w="2134" w:type="dxa"/>
            <w:shd w:val="clear" w:color="auto" w:fill="1D385B"/>
            <w:vAlign w:val="center"/>
          </w:tcPr>
          <w:p w:rsidRPr="00D041E6" w:rsidR="00C96207" w:rsidP="00D041E6" w:rsidRDefault="00C96207" w14:paraId="30241A51" w14:textId="77777777">
            <w:pPr>
              <w:spacing w:after="0"/>
              <w:rPr>
                <w:b/>
                <w:bCs/>
                <w:color w:val="FFFFFF" w:themeColor="background1"/>
              </w:rPr>
            </w:pPr>
            <w:r w:rsidRPr="00D041E6">
              <w:rPr>
                <w:b/>
                <w:bCs/>
                <w:color w:val="FFFFFF" w:themeColor="background1"/>
              </w:rPr>
              <w:t>Date</w:t>
            </w:r>
          </w:p>
        </w:tc>
        <w:tc>
          <w:tcPr>
            <w:tcW w:w="2003" w:type="dxa"/>
            <w:shd w:val="clear" w:color="auto" w:fill="1D385B"/>
            <w:vAlign w:val="center"/>
          </w:tcPr>
          <w:p w:rsidRPr="00D041E6" w:rsidR="00C96207" w:rsidP="00D041E6" w:rsidRDefault="00C96207" w14:paraId="7412533D" w14:textId="77777777">
            <w:pPr>
              <w:spacing w:after="0"/>
              <w:rPr>
                <w:b/>
                <w:bCs/>
                <w:color w:val="FFFFFF" w:themeColor="background1"/>
              </w:rPr>
            </w:pPr>
            <w:r w:rsidRPr="00D041E6">
              <w:rPr>
                <w:b/>
                <w:bCs/>
                <w:color w:val="FFFFFF" w:themeColor="background1"/>
              </w:rPr>
              <w:t>Version</w:t>
            </w:r>
          </w:p>
        </w:tc>
        <w:tc>
          <w:tcPr>
            <w:tcW w:w="2350" w:type="dxa"/>
            <w:shd w:val="clear" w:color="auto" w:fill="1D385B"/>
            <w:vAlign w:val="center"/>
          </w:tcPr>
          <w:p w:rsidRPr="00D041E6" w:rsidR="00C96207" w:rsidP="00D041E6" w:rsidRDefault="00C96207" w14:paraId="7E1045BD" w14:textId="77777777">
            <w:pPr>
              <w:spacing w:after="0"/>
              <w:rPr>
                <w:b/>
                <w:bCs/>
                <w:color w:val="FFFFFF" w:themeColor="background1"/>
              </w:rPr>
            </w:pPr>
            <w:r w:rsidRPr="00D041E6">
              <w:rPr>
                <w:b/>
                <w:bCs/>
                <w:color w:val="FFFFFF" w:themeColor="background1"/>
              </w:rPr>
              <w:t>Change Type</w:t>
            </w:r>
          </w:p>
        </w:tc>
        <w:tc>
          <w:tcPr>
            <w:tcW w:w="2400" w:type="dxa"/>
            <w:shd w:val="clear" w:color="auto" w:fill="1D385B"/>
            <w:vAlign w:val="center"/>
          </w:tcPr>
          <w:p w:rsidRPr="00D041E6" w:rsidR="00C96207" w:rsidP="00D041E6" w:rsidRDefault="00C96207" w14:paraId="51506A28" w14:textId="77777777">
            <w:pPr>
              <w:spacing w:after="0"/>
              <w:rPr>
                <w:b/>
                <w:bCs/>
                <w:color w:val="FFFFFF" w:themeColor="background1"/>
              </w:rPr>
            </w:pPr>
            <w:r w:rsidRPr="00D041E6">
              <w:rPr>
                <w:b/>
                <w:bCs/>
                <w:color w:val="FFFFFF" w:themeColor="background1"/>
              </w:rPr>
              <w:t>Modified By</w:t>
            </w:r>
          </w:p>
        </w:tc>
      </w:tr>
      <w:tr w:rsidRPr="00E13464" w:rsidR="00C96207" w:rsidTr="55B90CE6" w14:paraId="16D6A8B6" w14:textId="77777777">
        <w:tc>
          <w:tcPr>
            <w:tcW w:w="2134" w:type="dxa"/>
          </w:tcPr>
          <w:p w:rsidRPr="00E13464" w:rsidR="00C96207" w:rsidP="00D041E6" w:rsidRDefault="009567CA" w14:paraId="09ADBD15" w14:textId="38704424">
            <w:pPr>
              <w:spacing w:after="0"/>
            </w:pPr>
            <w:r>
              <w:t>20 December</w:t>
            </w:r>
            <w:r w:rsidRPr="55B90CE6" w:rsidR="00C96207">
              <w:t xml:space="preserve"> 202</w:t>
            </w:r>
            <w:r w:rsidRPr="55B90CE6" w:rsidR="00E1712D">
              <w:t>3</w:t>
            </w:r>
          </w:p>
        </w:tc>
        <w:tc>
          <w:tcPr>
            <w:tcW w:w="2003" w:type="dxa"/>
          </w:tcPr>
          <w:p w:rsidRPr="00E13464" w:rsidR="00C96207" w:rsidP="00D041E6" w:rsidRDefault="00E1712D" w14:paraId="693B91D6" w14:textId="713DA467">
            <w:pPr>
              <w:spacing w:after="0"/>
            </w:pPr>
            <w:r w:rsidRPr="55B90CE6">
              <w:t>V</w:t>
            </w:r>
            <w:r w:rsidR="000A474B">
              <w:t>1</w:t>
            </w:r>
            <w:r w:rsidRPr="55B90CE6" w:rsidR="00C96207">
              <w:t>.</w:t>
            </w:r>
            <w:r w:rsidR="000A474B">
              <w:t>0</w:t>
            </w:r>
          </w:p>
        </w:tc>
        <w:tc>
          <w:tcPr>
            <w:tcW w:w="2350" w:type="dxa"/>
          </w:tcPr>
          <w:p w:rsidRPr="00E13464" w:rsidR="00C96207" w:rsidP="00D041E6" w:rsidRDefault="00C96207" w14:paraId="2D56BC53" w14:textId="77777777">
            <w:pPr>
              <w:spacing w:after="0"/>
            </w:pPr>
            <w:r w:rsidRPr="55B90CE6">
              <w:t>Initial Version</w:t>
            </w:r>
          </w:p>
        </w:tc>
        <w:tc>
          <w:tcPr>
            <w:tcW w:w="2400" w:type="dxa"/>
          </w:tcPr>
          <w:p w:rsidRPr="00E13464" w:rsidR="00C96207" w:rsidP="00D041E6" w:rsidRDefault="00C96207" w14:paraId="7383801C" w14:textId="77777777">
            <w:pPr>
              <w:spacing w:after="0"/>
            </w:pPr>
            <w:r w:rsidRPr="55B90CE6">
              <w:t>ARLO-Solutions</w:t>
            </w:r>
          </w:p>
        </w:tc>
      </w:tr>
      <w:tr w:rsidRPr="00E13464" w:rsidR="00097860" w:rsidTr="55B90CE6" w14:paraId="7E81ACE5" w14:textId="77777777">
        <w:tc>
          <w:tcPr>
            <w:tcW w:w="2134" w:type="dxa"/>
          </w:tcPr>
          <w:p w:rsidRPr="00E13464" w:rsidR="00097860" w:rsidP="00097860" w:rsidRDefault="00097860" w14:paraId="1AADF8B7" w14:textId="70B3B240">
            <w:pPr>
              <w:spacing w:after="0"/>
            </w:pPr>
            <w:r>
              <w:t>25 February 2024</w:t>
            </w:r>
          </w:p>
        </w:tc>
        <w:tc>
          <w:tcPr>
            <w:tcW w:w="2003" w:type="dxa"/>
          </w:tcPr>
          <w:p w:rsidRPr="00E13464" w:rsidR="00097860" w:rsidP="00097860" w:rsidRDefault="00097860" w14:paraId="1F2B5614" w14:textId="02C862E1">
            <w:pPr>
              <w:spacing w:after="0"/>
            </w:pPr>
            <w:r>
              <w:t>V2.0</w:t>
            </w:r>
          </w:p>
        </w:tc>
        <w:tc>
          <w:tcPr>
            <w:tcW w:w="2350" w:type="dxa"/>
          </w:tcPr>
          <w:p w:rsidRPr="00E13464" w:rsidR="00097860" w:rsidP="00097860" w:rsidRDefault="00097860" w14:paraId="5C920FAF" w14:textId="34B629D8">
            <w:pPr>
              <w:spacing w:after="0"/>
            </w:pPr>
            <w:r>
              <w:t>CDAO template</w:t>
            </w:r>
          </w:p>
        </w:tc>
        <w:tc>
          <w:tcPr>
            <w:tcW w:w="2400" w:type="dxa"/>
          </w:tcPr>
          <w:p w:rsidRPr="00E13464" w:rsidR="00097860" w:rsidP="00097860" w:rsidRDefault="00097860" w14:paraId="6A70A548" w14:textId="7CC8E182">
            <w:pPr>
              <w:spacing w:after="0"/>
            </w:pPr>
            <w:r w:rsidRPr="55B90CE6">
              <w:t>ARLO-Solutions</w:t>
            </w:r>
          </w:p>
        </w:tc>
      </w:tr>
    </w:tbl>
    <w:p w:rsidRPr="00E13464" w:rsidR="00A5435A" w:rsidP="0041438E" w:rsidRDefault="00A5435A" w14:paraId="5435EF8D" w14:textId="77777777">
      <w:pPr>
        <w:sectPr w:rsidRPr="00E13464" w:rsidR="00A5435A" w:rsidSect="006F05BB">
          <w:headerReference w:type="default" r:id="rId13"/>
          <w:footerReference w:type="default" r:id="rId14"/>
          <w:headerReference w:type="first" r:id="rId15"/>
          <w:footerReference w:type="first" r:id="rId16"/>
          <w:type w:val="continuous"/>
          <w:pgSz w:w="12240" w:h="15840" w:orient="portrait"/>
          <w:pgMar w:top="1440" w:right="1440" w:bottom="1440" w:left="1440" w:header="432" w:footer="0" w:gutter="0"/>
          <w:pgNumType w:start="0"/>
          <w:cols w:space="720"/>
          <w:titlePg/>
          <w:docGrid w:linePitch="326"/>
        </w:sectPr>
      </w:pPr>
    </w:p>
    <w:bookmarkStart w:name="_Toc134102428" w:displacedByCustomXml="next" w:id="12"/>
    <w:bookmarkStart w:name="_Toc135740554" w:displacedByCustomXml="next" w:id="13"/>
    <w:sdt>
      <w:sdtPr>
        <w:id w:val="707075910"/>
        <w:docPartObj>
          <w:docPartGallery w:val="Table of Contents"/>
          <w:docPartUnique/>
        </w:docPartObj>
        <w:rPr>
          <w:rFonts w:eastAsia="Arial"/>
          <w:b w:val="0"/>
          <w:bCs w:val="0"/>
          <w:caps w:val="0"/>
          <w:smallCaps w:val="0"/>
          <w:noProof w:val="0"/>
          <w:color w:val="auto"/>
          <w:sz w:val="24"/>
          <w:szCs w:val="24"/>
        </w:rPr>
      </w:sdtPr>
      <w:sdtEndPr>
        <w:rPr>
          <w:rFonts w:eastAsia="Arial"/>
          <w:b w:val="0"/>
          <w:bCs w:val="0"/>
          <w:caps w:val="0"/>
          <w:smallCaps w:val="0"/>
          <w:noProof w:val="0"/>
          <w:color w:val="auto"/>
          <w:sz w:val="24"/>
          <w:szCs w:val="24"/>
        </w:rPr>
      </w:sdtEndPr>
      <w:sdtContent>
        <w:p w:rsidRPr="0041438E" w:rsidR="00C128F4" w:rsidP="0041438E" w:rsidRDefault="00D7615C" w14:paraId="4013BE8D" w14:textId="33F27A1A">
          <w:pPr>
            <w:pStyle w:val="Heading1"/>
          </w:pPr>
          <w:r w:rsidRPr="0041438E">
            <w:t xml:space="preserve">Table of </w:t>
          </w:r>
          <w:r w:rsidRPr="0041438E" w:rsidR="00C128F4">
            <w:t>Contents</w:t>
          </w:r>
          <w:bookmarkEnd w:id="13"/>
          <w:bookmarkEnd w:id="12"/>
        </w:p>
        <w:p w:rsidR="006E5C51" w:rsidRDefault="008D208E" w14:paraId="2FAC81C1" w14:textId="0D9E5209">
          <w:pPr>
            <w:pStyle w:val="TOC1"/>
            <w:tabs>
              <w:tab w:val="right" w:leader="dot" w:pos="9350"/>
            </w:tabs>
            <w:rPr>
              <w:rFonts w:asciiTheme="minorHAnsi" w:hAnsiTheme="minorHAnsi" w:eastAsiaTheme="minorEastAsia" w:cstheme="minorBidi"/>
              <w:noProof/>
              <w:kern w:val="2"/>
              <w:sz w:val="22"/>
              <w:szCs w:val="22"/>
              <w14:ligatures w14:val="standardContextual"/>
            </w:rPr>
          </w:pPr>
          <w:r>
            <w:fldChar w:fldCharType="begin"/>
          </w:r>
          <w:r w:rsidR="00C128F4">
            <w:instrText>TOC \o "1-3" \h \z \u</w:instrText>
          </w:r>
          <w:r>
            <w:fldChar w:fldCharType="separate"/>
          </w:r>
          <w:hyperlink w:history="1" w:anchor="_Toc135740553">
            <w:r w:rsidRPr="00F71A0C" w:rsidR="006E5C51">
              <w:rPr>
                <w:rStyle w:val="Hyperlink"/>
                <w:noProof/>
              </w:rPr>
              <w:t>Version History</w:t>
            </w:r>
            <w:r w:rsidR="006E5C51">
              <w:rPr>
                <w:noProof/>
                <w:webHidden/>
              </w:rPr>
              <w:tab/>
            </w:r>
            <w:r w:rsidR="006E5C51">
              <w:rPr>
                <w:noProof/>
                <w:webHidden/>
              </w:rPr>
              <w:fldChar w:fldCharType="begin"/>
            </w:r>
            <w:r w:rsidR="006E5C51">
              <w:rPr>
                <w:noProof/>
                <w:webHidden/>
              </w:rPr>
              <w:instrText xml:space="preserve"> PAGEREF _Toc135740553 \h </w:instrText>
            </w:r>
            <w:r w:rsidR="006E5C51">
              <w:rPr>
                <w:noProof/>
                <w:webHidden/>
              </w:rPr>
            </w:r>
            <w:r w:rsidR="006E5C51">
              <w:rPr>
                <w:noProof/>
                <w:webHidden/>
              </w:rPr>
              <w:fldChar w:fldCharType="separate"/>
            </w:r>
            <w:r w:rsidR="006E5C51">
              <w:rPr>
                <w:noProof/>
                <w:webHidden/>
              </w:rPr>
              <w:t>1</w:t>
            </w:r>
            <w:r w:rsidR="006E5C51">
              <w:rPr>
                <w:noProof/>
                <w:webHidden/>
              </w:rPr>
              <w:fldChar w:fldCharType="end"/>
            </w:r>
          </w:hyperlink>
        </w:p>
        <w:p w:rsidR="006E5C51" w:rsidRDefault="006F6811" w14:paraId="07FA96BE" w14:textId="3EBBF3F8">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740554">
            <w:r w:rsidRPr="00F71A0C" w:rsidR="006E5C51">
              <w:rPr>
                <w:rStyle w:val="Hyperlink"/>
                <w:noProof/>
              </w:rPr>
              <w:t>Table of Contents</w:t>
            </w:r>
            <w:r w:rsidR="006E5C51">
              <w:rPr>
                <w:noProof/>
                <w:webHidden/>
              </w:rPr>
              <w:tab/>
            </w:r>
            <w:r w:rsidR="006E5C51">
              <w:rPr>
                <w:noProof/>
                <w:webHidden/>
              </w:rPr>
              <w:fldChar w:fldCharType="begin"/>
            </w:r>
            <w:r w:rsidR="006E5C51">
              <w:rPr>
                <w:noProof/>
                <w:webHidden/>
              </w:rPr>
              <w:instrText xml:space="preserve"> PAGEREF _Toc135740554 \h </w:instrText>
            </w:r>
            <w:r w:rsidR="006E5C51">
              <w:rPr>
                <w:noProof/>
                <w:webHidden/>
              </w:rPr>
            </w:r>
            <w:r w:rsidR="006E5C51">
              <w:rPr>
                <w:noProof/>
                <w:webHidden/>
              </w:rPr>
              <w:fldChar w:fldCharType="separate"/>
            </w:r>
            <w:r w:rsidR="006E5C51">
              <w:rPr>
                <w:noProof/>
                <w:webHidden/>
              </w:rPr>
              <w:t>2</w:t>
            </w:r>
            <w:r w:rsidR="006E5C51">
              <w:rPr>
                <w:noProof/>
                <w:webHidden/>
              </w:rPr>
              <w:fldChar w:fldCharType="end"/>
            </w:r>
          </w:hyperlink>
        </w:p>
        <w:p w:rsidR="006E5C51" w:rsidRDefault="006F6811" w14:paraId="3375B165" w14:textId="5164D918">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55">
            <w:r w:rsidRPr="00F71A0C" w:rsidR="006E5C51">
              <w:rPr>
                <w:rStyle w:val="Hyperlink"/>
                <w:noProof/>
              </w:rPr>
              <w:t>1.</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Terminology</w:t>
            </w:r>
            <w:r w:rsidR="006E5C51">
              <w:rPr>
                <w:noProof/>
                <w:webHidden/>
              </w:rPr>
              <w:tab/>
            </w:r>
            <w:r w:rsidR="006E5C51">
              <w:rPr>
                <w:noProof/>
                <w:webHidden/>
              </w:rPr>
              <w:fldChar w:fldCharType="begin"/>
            </w:r>
            <w:r w:rsidR="006E5C51">
              <w:rPr>
                <w:noProof/>
                <w:webHidden/>
              </w:rPr>
              <w:instrText xml:space="preserve"> PAGEREF _Toc135740555 \h </w:instrText>
            </w:r>
            <w:r w:rsidR="006E5C51">
              <w:rPr>
                <w:noProof/>
                <w:webHidden/>
              </w:rPr>
            </w:r>
            <w:r w:rsidR="006E5C51">
              <w:rPr>
                <w:noProof/>
                <w:webHidden/>
              </w:rPr>
              <w:fldChar w:fldCharType="separate"/>
            </w:r>
            <w:r w:rsidR="006E5C51">
              <w:rPr>
                <w:noProof/>
                <w:webHidden/>
              </w:rPr>
              <w:t>3</w:t>
            </w:r>
            <w:r w:rsidR="006E5C51">
              <w:rPr>
                <w:noProof/>
                <w:webHidden/>
              </w:rPr>
              <w:fldChar w:fldCharType="end"/>
            </w:r>
          </w:hyperlink>
        </w:p>
        <w:p w:rsidR="006E5C51" w:rsidRDefault="006F6811" w14:paraId="45233646" w14:textId="63279BFD">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56">
            <w:r w:rsidRPr="00F71A0C" w:rsidR="006E5C51">
              <w:rPr>
                <w:rStyle w:val="Hyperlink"/>
                <w:noProof/>
              </w:rPr>
              <w:t>2.</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General Terminology</w:t>
            </w:r>
            <w:r w:rsidR="006E5C51">
              <w:rPr>
                <w:noProof/>
                <w:webHidden/>
              </w:rPr>
              <w:tab/>
            </w:r>
            <w:r w:rsidR="006E5C51">
              <w:rPr>
                <w:noProof/>
                <w:webHidden/>
              </w:rPr>
              <w:fldChar w:fldCharType="begin"/>
            </w:r>
            <w:r w:rsidR="006E5C51">
              <w:rPr>
                <w:noProof/>
                <w:webHidden/>
              </w:rPr>
              <w:instrText xml:space="preserve"> PAGEREF _Toc135740556 \h </w:instrText>
            </w:r>
            <w:r w:rsidR="006E5C51">
              <w:rPr>
                <w:noProof/>
                <w:webHidden/>
              </w:rPr>
            </w:r>
            <w:r w:rsidR="006E5C51">
              <w:rPr>
                <w:noProof/>
                <w:webHidden/>
              </w:rPr>
              <w:fldChar w:fldCharType="separate"/>
            </w:r>
            <w:r w:rsidR="006E5C51">
              <w:rPr>
                <w:noProof/>
                <w:webHidden/>
              </w:rPr>
              <w:t>3</w:t>
            </w:r>
            <w:r w:rsidR="006E5C51">
              <w:rPr>
                <w:noProof/>
                <w:webHidden/>
              </w:rPr>
              <w:fldChar w:fldCharType="end"/>
            </w:r>
          </w:hyperlink>
        </w:p>
        <w:p w:rsidR="006E5C51" w:rsidRDefault="006F6811" w14:paraId="72E5F950" w14:textId="3E8DF8CD">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57">
            <w:r w:rsidRPr="00F71A0C" w:rsidR="006E5C51">
              <w:rPr>
                <w:rStyle w:val="Hyperlink"/>
                <w:noProof/>
              </w:rPr>
              <w:t>3.</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Documents and Deliverables</w:t>
            </w:r>
            <w:r w:rsidR="006E5C51">
              <w:rPr>
                <w:noProof/>
                <w:webHidden/>
              </w:rPr>
              <w:tab/>
            </w:r>
            <w:r w:rsidR="006E5C51">
              <w:rPr>
                <w:noProof/>
                <w:webHidden/>
              </w:rPr>
              <w:fldChar w:fldCharType="begin"/>
            </w:r>
            <w:r w:rsidR="006E5C51">
              <w:rPr>
                <w:noProof/>
                <w:webHidden/>
              </w:rPr>
              <w:instrText xml:space="preserve"> PAGEREF _Toc135740557 \h </w:instrText>
            </w:r>
            <w:r w:rsidR="006E5C51">
              <w:rPr>
                <w:noProof/>
                <w:webHidden/>
              </w:rPr>
            </w:r>
            <w:r w:rsidR="006E5C51">
              <w:rPr>
                <w:noProof/>
                <w:webHidden/>
              </w:rPr>
              <w:fldChar w:fldCharType="separate"/>
            </w:r>
            <w:r w:rsidR="006E5C51">
              <w:rPr>
                <w:noProof/>
                <w:webHidden/>
              </w:rPr>
              <w:t>4</w:t>
            </w:r>
            <w:r w:rsidR="006E5C51">
              <w:rPr>
                <w:noProof/>
                <w:webHidden/>
              </w:rPr>
              <w:fldChar w:fldCharType="end"/>
            </w:r>
          </w:hyperlink>
        </w:p>
        <w:p w:rsidR="006E5C51" w:rsidRDefault="006F6811" w14:paraId="7B9A62C0" w14:textId="6B0B79C3">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58">
            <w:r w:rsidRPr="00F71A0C" w:rsidR="006E5C51">
              <w:rPr>
                <w:rStyle w:val="Hyperlink"/>
                <w:noProof/>
              </w:rPr>
              <w:t>4.</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Changes in Terminology</w:t>
            </w:r>
            <w:r w:rsidR="006E5C51">
              <w:rPr>
                <w:noProof/>
                <w:webHidden/>
              </w:rPr>
              <w:tab/>
            </w:r>
            <w:r w:rsidR="006E5C51">
              <w:rPr>
                <w:noProof/>
                <w:webHidden/>
              </w:rPr>
              <w:fldChar w:fldCharType="begin"/>
            </w:r>
            <w:r w:rsidR="006E5C51">
              <w:rPr>
                <w:noProof/>
                <w:webHidden/>
              </w:rPr>
              <w:instrText xml:space="preserve"> PAGEREF _Toc135740558 \h </w:instrText>
            </w:r>
            <w:r w:rsidR="006E5C51">
              <w:rPr>
                <w:noProof/>
                <w:webHidden/>
              </w:rPr>
            </w:r>
            <w:r w:rsidR="006E5C51">
              <w:rPr>
                <w:noProof/>
                <w:webHidden/>
              </w:rPr>
              <w:fldChar w:fldCharType="separate"/>
            </w:r>
            <w:r w:rsidR="006E5C51">
              <w:rPr>
                <w:noProof/>
                <w:webHidden/>
              </w:rPr>
              <w:t>4</w:t>
            </w:r>
            <w:r w:rsidR="006E5C51">
              <w:rPr>
                <w:noProof/>
                <w:webHidden/>
              </w:rPr>
              <w:fldChar w:fldCharType="end"/>
            </w:r>
          </w:hyperlink>
        </w:p>
        <w:p w:rsidR="006E5C51" w:rsidRDefault="006F6811" w14:paraId="6CCB6725" w14:textId="344E49B7">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59">
            <w:r w:rsidRPr="00F71A0C" w:rsidR="006E5C51">
              <w:rPr>
                <w:rStyle w:val="Hyperlink"/>
                <w:noProof/>
              </w:rPr>
              <w:t>5.</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Cybersecurity: Roles</w:t>
            </w:r>
            <w:r w:rsidR="006E5C51">
              <w:rPr>
                <w:noProof/>
                <w:webHidden/>
              </w:rPr>
              <w:tab/>
            </w:r>
            <w:r w:rsidR="006E5C51">
              <w:rPr>
                <w:noProof/>
                <w:webHidden/>
              </w:rPr>
              <w:fldChar w:fldCharType="begin"/>
            </w:r>
            <w:r w:rsidR="006E5C51">
              <w:rPr>
                <w:noProof/>
                <w:webHidden/>
              </w:rPr>
              <w:instrText xml:space="preserve"> PAGEREF _Toc135740559 \h </w:instrText>
            </w:r>
            <w:r w:rsidR="006E5C51">
              <w:rPr>
                <w:noProof/>
                <w:webHidden/>
              </w:rPr>
            </w:r>
            <w:r w:rsidR="006E5C51">
              <w:rPr>
                <w:noProof/>
                <w:webHidden/>
              </w:rPr>
              <w:fldChar w:fldCharType="separate"/>
            </w:r>
            <w:r w:rsidR="006E5C51">
              <w:rPr>
                <w:noProof/>
                <w:webHidden/>
              </w:rPr>
              <w:t>5</w:t>
            </w:r>
            <w:r w:rsidR="006E5C51">
              <w:rPr>
                <w:noProof/>
                <w:webHidden/>
              </w:rPr>
              <w:fldChar w:fldCharType="end"/>
            </w:r>
          </w:hyperlink>
        </w:p>
        <w:p w:rsidR="006E5C51" w:rsidRDefault="006F6811" w14:paraId="5240D8F9" w14:textId="0C0329F3">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60">
            <w:r w:rsidRPr="00F71A0C" w:rsidR="006E5C51">
              <w:rPr>
                <w:rStyle w:val="Hyperlink"/>
                <w:noProof/>
              </w:rPr>
              <w:t>6.</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Supporting Roles</w:t>
            </w:r>
            <w:r w:rsidR="006E5C51">
              <w:rPr>
                <w:noProof/>
                <w:webHidden/>
              </w:rPr>
              <w:tab/>
            </w:r>
            <w:r w:rsidR="006E5C51">
              <w:rPr>
                <w:noProof/>
                <w:webHidden/>
              </w:rPr>
              <w:fldChar w:fldCharType="begin"/>
            </w:r>
            <w:r w:rsidR="006E5C51">
              <w:rPr>
                <w:noProof/>
                <w:webHidden/>
              </w:rPr>
              <w:instrText xml:space="preserve"> PAGEREF _Toc135740560 \h </w:instrText>
            </w:r>
            <w:r w:rsidR="006E5C51">
              <w:rPr>
                <w:noProof/>
                <w:webHidden/>
              </w:rPr>
            </w:r>
            <w:r w:rsidR="006E5C51">
              <w:rPr>
                <w:noProof/>
                <w:webHidden/>
              </w:rPr>
              <w:fldChar w:fldCharType="separate"/>
            </w:r>
            <w:r w:rsidR="006E5C51">
              <w:rPr>
                <w:noProof/>
                <w:webHidden/>
              </w:rPr>
              <w:t>6</w:t>
            </w:r>
            <w:r w:rsidR="006E5C51">
              <w:rPr>
                <w:noProof/>
                <w:webHidden/>
              </w:rPr>
              <w:fldChar w:fldCharType="end"/>
            </w:r>
          </w:hyperlink>
        </w:p>
        <w:p w:rsidR="006E5C51" w:rsidRDefault="006F6811" w14:paraId="1CD09CE7" w14:textId="555644E2">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61">
            <w:r w:rsidRPr="00F71A0C" w:rsidR="006E5C51">
              <w:rPr>
                <w:rStyle w:val="Hyperlink"/>
                <w:noProof/>
              </w:rPr>
              <w:t>7.</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Decision Authorities</w:t>
            </w:r>
            <w:r w:rsidR="006E5C51">
              <w:rPr>
                <w:noProof/>
                <w:webHidden/>
              </w:rPr>
              <w:tab/>
            </w:r>
            <w:r w:rsidR="006E5C51">
              <w:rPr>
                <w:noProof/>
                <w:webHidden/>
              </w:rPr>
              <w:fldChar w:fldCharType="begin"/>
            </w:r>
            <w:r w:rsidR="006E5C51">
              <w:rPr>
                <w:noProof/>
                <w:webHidden/>
              </w:rPr>
              <w:instrText xml:space="preserve"> PAGEREF _Toc135740561 \h </w:instrText>
            </w:r>
            <w:r w:rsidR="006E5C51">
              <w:rPr>
                <w:noProof/>
                <w:webHidden/>
              </w:rPr>
            </w:r>
            <w:r w:rsidR="006E5C51">
              <w:rPr>
                <w:noProof/>
                <w:webHidden/>
              </w:rPr>
              <w:fldChar w:fldCharType="separate"/>
            </w:r>
            <w:r w:rsidR="006E5C51">
              <w:rPr>
                <w:noProof/>
                <w:webHidden/>
              </w:rPr>
              <w:t>6</w:t>
            </w:r>
            <w:r w:rsidR="006E5C51">
              <w:rPr>
                <w:noProof/>
                <w:webHidden/>
              </w:rPr>
              <w:fldChar w:fldCharType="end"/>
            </w:r>
          </w:hyperlink>
        </w:p>
        <w:p w:rsidR="006E5C51" w:rsidRDefault="006F6811" w14:paraId="0A201899" w14:textId="05A85BD6">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62">
            <w:r w:rsidRPr="00F71A0C" w:rsidR="006E5C51">
              <w:rPr>
                <w:rStyle w:val="Hyperlink"/>
                <w:noProof/>
              </w:rPr>
              <w:t>8.</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Assessors and Owners</w:t>
            </w:r>
            <w:r w:rsidR="006E5C51">
              <w:rPr>
                <w:noProof/>
                <w:webHidden/>
              </w:rPr>
              <w:tab/>
            </w:r>
            <w:r w:rsidR="006E5C51">
              <w:rPr>
                <w:noProof/>
                <w:webHidden/>
              </w:rPr>
              <w:fldChar w:fldCharType="begin"/>
            </w:r>
            <w:r w:rsidR="006E5C51">
              <w:rPr>
                <w:noProof/>
                <w:webHidden/>
              </w:rPr>
              <w:instrText xml:space="preserve"> PAGEREF _Toc135740562 \h </w:instrText>
            </w:r>
            <w:r w:rsidR="006E5C51">
              <w:rPr>
                <w:noProof/>
                <w:webHidden/>
              </w:rPr>
            </w:r>
            <w:r w:rsidR="006E5C51">
              <w:rPr>
                <w:noProof/>
                <w:webHidden/>
              </w:rPr>
              <w:fldChar w:fldCharType="separate"/>
            </w:r>
            <w:r w:rsidR="006E5C51">
              <w:rPr>
                <w:noProof/>
                <w:webHidden/>
              </w:rPr>
              <w:t>7</w:t>
            </w:r>
            <w:r w:rsidR="006E5C51">
              <w:rPr>
                <w:noProof/>
                <w:webHidden/>
              </w:rPr>
              <w:fldChar w:fldCharType="end"/>
            </w:r>
          </w:hyperlink>
        </w:p>
        <w:p w:rsidR="006E5C51" w:rsidRDefault="006F6811" w14:paraId="0C5C4E6C" w14:textId="55C01078">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63">
            <w:r w:rsidRPr="00F71A0C" w:rsidR="006E5C51">
              <w:rPr>
                <w:rStyle w:val="Hyperlink"/>
                <w:noProof/>
              </w:rPr>
              <w:t>9.</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Implementors</w:t>
            </w:r>
            <w:r w:rsidR="006E5C51">
              <w:rPr>
                <w:noProof/>
                <w:webHidden/>
              </w:rPr>
              <w:tab/>
            </w:r>
            <w:r w:rsidR="006E5C51">
              <w:rPr>
                <w:noProof/>
                <w:webHidden/>
              </w:rPr>
              <w:fldChar w:fldCharType="begin"/>
            </w:r>
            <w:r w:rsidR="006E5C51">
              <w:rPr>
                <w:noProof/>
                <w:webHidden/>
              </w:rPr>
              <w:instrText xml:space="preserve"> PAGEREF _Toc135740563 \h </w:instrText>
            </w:r>
            <w:r w:rsidR="006E5C51">
              <w:rPr>
                <w:noProof/>
                <w:webHidden/>
              </w:rPr>
            </w:r>
            <w:r w:rsidR="006E5C51">
              <w:rPr>
                <w:noProof/>
                <w:webHidden/>
              </w:rPr>
              <w:fldChar w:fldCharType="separate"/>
            </w:r>
            <w:r w:rsidR="006E5C51">
              <w:rPr>
                <w:noProof/>
                <w:webHidden/>
              </w:rPr>
              <w:t>8</w:t>
            </w:r>
            <w:r w:rsidR="006E5C51">
              <w:rPr>
                <w:noProof/>
                <w:webHidden/>
              </w:rPr>
              <w:fldChar w:fldCharType="end"/>
            </w:r>
          </w:hyperlink>
        </w:p>
        <w:p w:rsidR="006E5C51" w:rsidRDefault="006F6811" w14:paraId="4C39387C" w14:textId="190F011C">
          <w:pPr>
            <w:pStyle w:val="TOC1"/>
            <w:tabs>
              <w:tab w:val="left" w:pos="880"/>
              <w:tab w:val="right" w:leader="dot" w:pos="9350"/>
            </w:tabs>
            <w:rPr>
              <w:rFonts w:asciiTheme="minorHAnsi" w:hAnsiTheme="minorHAnsi" w:eastAsiaTheme="minorEastAsia" w:cstheme="minorBidi"/>
              <w:noProof/>
              <w:kern w:val="2"/>
              <w:sz w:val="22"/>
              <w:szCs w:val="22"/>
              <w14:ligatures w14:val="standardContextual"/>
            </w:rPr>
          </w:pPr>
          <w:hyperlink w:history="1" w:anchor="_Toc135740564">
            <w:r w:rsidRPr="00F71A0C" w:rsidR="006E5C51">
              <w:rPr>
                <w:rStyle w:val="Hyperlink"/>
                <w:noProof/>
              </w:rPr>
              <w:t>10.</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Supporting Tasks</w:t>
            </w:r>
            <w:r w:rsidR="006E5C51">
              <w:rPr>
                <w:noProof/>
                <w:webHidden/>
              </w:rPr>
              <w:tab/>
            </w:r>
            <w:r w:rsidR="006E5C51">
              <w:rPr>
                <w:noProof/>
                <w:webHidden/>
              </w:rPr>
              <w:fldChar w:fldCharType="begin"/>
            </w:r>
            <w:r w:rsidR="006E5C51">
              <w:rPr>
                <w:noProof/>
                <w:webHidden/>
              </w:rPr>
              <w:instrText xml:space="preserve"> PAGEREF _Toc135740564 \h </w:instrText>
            </w:r>
            <w:r w:rsidR="006E5C51">
              <w:rPr>
                <w:noProof/>
                <w:webHidden/>
              </w:rPr>
            </w:r>
            <w:r w:rsidR="006E5C51">
              <w:rPr>
                <w:noProof/>
                <w:webHidden/>
              </w:rPr>
              <w:fldChar w:fldCharType="separate"/>
            </w:r>
            <w:r w:rsidR="006E5C51">
              <w:rPr>
                <w:noProof/>
                <w:webHidden/>
              </w:rPr>
              <w:t>9</w:t>
            </w:r>
            <w:r w:rsidR="006E5C51">
              <w:rPr>
                <w:noProof/>
                <w:webHidden/>
              </w:rPr>
              <w:fldChar w:fldCharType="end"/>
            </w:r>
          </w:hyperlink>
        </w:p>
        <w:p w:rsidR="006E5C51" w:rsidRDefault="006F6811" w14:paraId="4A38D02D" w14:textId="54D2638E">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565">
            <w:r w:rsidRPr="00F71A0C" w:rsidR="006E5C51">
              <w:rPr>
                <w:rStyle w:val="Hyperlink"/>
                <w:noProof/>
              </w:rPr>
              <w:t>1.1.</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10.1 Element 1: Categorize System</w:t>
            </w:r>
            <w:r w:rsidR="006E5C51">
              <w:rPr>
                <w:noProof/>
                <w:webHidden/>
              </w:rPr>
              <w:tab/>
            </w:r>
            <w:r w:rsidR="006E5C51">
              <w:rPr>
                <w:noProof/>
                <w:webHidden/>
              </w:rPr>
              <w:fldChar w:fldCharType="begin"/>
            </w:r>
            <w:r w:rsidR="006E5C51">
              <w:rPr>
                <w:noProof/>
                <w:webHidden/>
              </w:rPr>
              <w:instrText xml:space="preserve"> PAGEREF _Toc135740565 \h </w:instrText>
            </w:r>
            <w:r w:rsidR="006E5C51">
              <w:rPr>
                <w:noProof/>
                <w:webHidden/>
              </w:rPr>
            </w:r>
            <w:r w:rsidR="006E5C51">
              <w:rPr>
                <w:noProof/>
                <w:webHidden/>
              </w:rPr>
              <w:fldChar w:fldCharType="separate"/>
            </w:r>
            <w:r w:rsidR="006E5C51">
              <w:rPr>
                <w:noProof/>
                <w:webHidden/>
              </w:rPr>
              <w:t>9</w:t>
            </w:r>
            <w:r w:rsidR="006E5C51">
              <w:rPr>
                <w:noProof/>
                <w:webHidden/>
              </w:rPr>
              <w:fldChar w:fldCharType="end"/>
            </w:r>
          </w:hyperlink>
        </w:p>
        <w:p w:rsidR="006E5C51" w:rsidRDefault="006F6811" w14:paraId="0097341B" w14:textId="73FE4606">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566">
            <w:r w:rsidRPr="00F71A0C" w:rsidR="006E5C51">
              <w:rPr>
                <w:rStyle w:val="Hyperlink"/>
                <w:noProof/>
              </w:rPr>
              <w:t>1.2.</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10.2 Element 1: Select Security Requirements</w:t>
            </w:r>
            <w:r w:rsidR="006E5C51">
              <w:rPr>
                <w:noProof/>
                <w:webHidden/>
              </w:rPr>
              <w:tab/>
            </w:r>
            <w:r w:rsidR="006E5C51">
              <w:rPr>
                <w:noProof/>
                <w:webHidden/>
              </w:rPr>
              <w:fldChar w:fldCharType="begin"/>
            </w:r>
            <w:r w:rsidR="006E5C51">
              <w:rPr>
                <w:noProof/>
                <w:webHidden/>
              </w:rPr>
              <w:instrText xml:space="preserve"> PAGEREF _Toc135740566 \h </w:instrText>
            </w:r>
            <w:r w:rsidR="006E5C51">
              <w:rPr>
                <w:noProof/>
                <w:webHidden/>
              </w:rPr>
            </w:r>
            <w:r w:rsidR="006E5C51">
              <w:rPr>
                <w:noProof/>
                <w:webHidden/>
              </w:rPr>
              <w:fldChar w:fldCharType="separate"/>
            </w:r>
            <w:r w:rsidR="006E5C51">
              <w:rPr>
                <w:noProof/>
                <w:webHidden/>
              </w:rPr>
              <w:t>10</w:t>
            </w:r>
            <w:r w:rsidR="006E5C51">
              <w:rPr>
                <w:noProof/>
                <w:webHidden/>
              </w:rPr>
              <w:fldChar w:fldCharType="end"/>
            </w:r>
          </w:hyperlink>
        </w:p>
        <w:p w:rsidR="006E5C51" w:rsidRDefault="006F6811" w14:paraId="43B6968C" w14:textId="07DDD7A8">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567">
            <w:r w:rsidRPr="00F71A0C" w:rsidR="006E5C51">
              <w:rPr>
                <w:rStyle w:val="Hyperlink"/>
                <w:noProof/>
              </w:rPr>
              <w:t>1.3.</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10.3 Element 1: Implement Security Requirements</w:t>
            </w:r>
            <w:r w:rsidR="006E5C51">
              <w:rPr>
                <w:noProof/>
                <w:webHidden/>
              </w:rPr>
              <w:tab/>
            </w:r>
            <w:r w:rsidR="006E5C51">
              <w:rPr>
                <w:noProof/>
                <w:webHidden/>
              </w:rPr>
              <w:fldChar w:fldCharType="begin"/>
            </w:r>
            <w:r w:rsidR="006E5C51">
              <w:rPr>
                <w:noProof/>
                <w:webHidden/>
              </w:rPr>
              <w:instrText xml:space="preserve"> PAGEREF _Toc135740567 \h </w:instrText>
            </w:r>
            <w:r w:rsidR="006E5C51">
              <w:rPr>
                <w:noProof/>
                <w:webHidden/>
              </w:rPr>
            </w:r>
            <w:r w:rsidR="006E5C51">
              <w:rPr>
                <w:noProof/>
                <w:webHidden/>
              </w:rPr>
              <w:fldChar w:fldCharType="separate"/>
            </w:r>
            <w:r w:rsidR="006E5C51">
              <w:rPr>
                <w:noProof/>
                <w:webHidden/>
              </w:rPr>
              <w:t>11</w:t>
            </w:r>
            <w:r w:rsidR="006E5C51">
              <w:rPr>
                <w:noProof/>
                <w:webHidden/>
              </w:rPr>
              <w:fldChar w:fldCharType="end"/>
            </w:r>
          </w:hyperlink>
        </w:p>
        <w:p w:rsidR="006E5C51" w:rsidRDefault="006F6811" w14:paraId="4EBA4F2D" w14:textId="1D89598E">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568">
            <w:r w:rsidRPr="00F71A0C" w:rsidR="006E5C51">
              <w:rPr>
                <w:rStyle w:val="Hyperlink"/>
                <w:noProof/>
              </w:rPr>
              <w:t>1.4.</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10.4 Element 2: Assess Security Requirements</w:t>
            </w:r>
            <w:r w:rsidR="006E5C51">
              <w:rPr>
                <w:noProof/>
                <w:webHidden/>
              </w:rPr>
              <w:tab/>
            </w:r>
            <w:r w:rsidR="006E5C51">
              <w:rPr>
                <w:noProof/>
                <w:webHidden/>
              </w:rPr>
              <w:fldChar w:fldCharType="begin"/>
            </w:r>
            <w:r w:rsidR="006E5C51">
              <w:rPr>
                <w:noProof/>
                <w:webHidden/>
              </w:rPr>
              <w:instrText xml:space="preserve"> PAGEREF _Toc135740568 \h </w:instrText>
            </w:r>
            <w:r w:rsidR="006E5C51">
              <w:rPr>
                <w:noProof/>
                <w:webHidden/>
              </w:rPr>
            </w:r>
            <w:r w:rsidR="006E5C51">
              <w:rPr>
                <w:noProof/>
                <w:webHidden/>
              </w:rPr>
              <w:fldChar w:fldCharType="separate"/>
            </w:r>
            <w:r w:rsidR="006E5C51">
              <w:rPr>
                <w:noProof/>
                <w:webHidden/>
              </w:rPr>
              <w:t>11</w:t>
            </w:r>
            <w:r w:rsidR="006E5C51">
              <w:rPr>
                <w:noProof/>
                <w:webHidden/>
              </w:rPr>
              <w:fldChar w:fldCharType="end"/>
            </w:r>
          </w:hyperlink>
        </w:p>
        <w:p w:rsidR="006E5C51" w:rsidRDefault="006F6811" w14:paraId="5C7C603D" w14:textId="4BD3A471">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569">
            <w:r w:rsidRPr="00F71A0C" w:rsidR="006E5C51">
              <w:rPr>
                <w:rStyle w:val="Hyperlink"/>
                <w:noProof/>
              </w:rPr>
              <w:t>1.5.</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10.5 Element 2: Authorize System</w:t>
            </w:r>
            <w:r w:rsidR="006E5C51">
              <w:rPr>
                <w:noProof/>
                <w:webHidden/>
              </w:rPr>
              <w:tab/>
            </w:r>
            <w:r w:rsidR="006E5C51">
              <w:rPr>
                <w:noProof/>
                <w:webHidden/>
              </w:rPr>
              <w:fldChar w:fldCharType="begin"/>
            </w:r>
            <w:r w:rsidR="006E5C51">
              <w:rPr>
                <w:noProof/>
                <w:webHidden/>
              </w:rPr>
              <w:instrText xml:space="preserve"> PAGEREF _Toc135740569 \h </w:instrText>
            </w:r>
            <w:r w:rsidR="006E5C51">
              <w:rPr>
                <w:noProof/>
                <w:webHidden/>
              </w:rPr>
            </w:r>
            <w:r w:rsidR="006E5C51">
              <w:rPr>
                <w:noProof/>
                <w:webHidden/>
              </w:rPr>
              <w:fldChar w:fldCharType="separate"/>
            </w:r>
            <w:r w:rsidR="006E5C51">
              <w:rPr>
                <w:noProof/>
                <w:webHidden/>
              </w:rPr>
              <w:t>12</w:t>
            </w:r>
            <w:r w:rsidR="006E5C51">
              <w:rPr>
                <w:noProof/>
                <w:webHidden/>
              </w:rPr>
              <w:fldChar w:fldCharType="end"/>
            </w:r>
          </w:hyperlink>
        </w:p>
        <w:p w:rsidR="006E5C51" w:rsidRDefault="006F6811" w14:paraId="2A84FDC5" w14:textId="2CEF7A27">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570">
            <w:r w:rsidRPr="00F71A0C" w:rsidR="006E5C51">
              <w:rPr>
                <w:rStyle w:val="Hyperlink"/>
                <w:noProof/>
              </w:rPr>
              <w:t>1.6.</w:t>
            </w:r>
            <w:r w:rsidR="006E5C51">
              <w:rPr>
                <w:rFonts w:asciiTheme="minorHAnsi" w:hAnsiTheme="minorHAnsi" w:eastAsiaTheme="minorEastAsia" w:cstheme="minorBidi"/>
                <w:noProof/>
                <w:kern w:val="2"/>
                <w:sz w:val="22"/>
                <w:szCs w:val="22"/>
                <w14:ligatures w14:val="standardContextual"/>
              </w:rPr>
              <w:tab/>
            </w:r>
            <w:r w:rsidRPr="00F71A0C" w:rsidR="006E5C51">
              <w:rPr>
                <w:rStyle w:val="Hyperlink"/>
                <w:noProof/>
              </w:rPr>
              <w:t>10.6 Element 3: Monitor Security Requirements</w:t>
            </w:r>
            <w:r w:rsidR="006E5C51">
              <w:rPr>
                <w:noProof/>
                <w:webHidden/>
              </w:rPr>
              <w:tab/>
            </w:r>
            <w:r w:rsidR="006E5C51">
              <w:rPr>
                <w:noProof/>
                <w:webHidden/>
              </w:rPr>
              <w:fldChar w:fldCharType="begin"/>
            </w:r>
            <w:r w:rsidR="006E5C51">
              <w:rPr>
                <w:noProof/>
                <w:webHidden/>
              </w:rPr>
              <w:instrText xml:space="preserve"> PAGEREF _Toc135740570 \h </w:instrText>
            </w:r>
            <w:r w:rsidR="006E5C51">
              <w:rPr>
                <w:noProof/>
                <w:webHidden/>
              </w:rPr>
            </w:r>
            <w:r w:rsidR="006E5C51">
              <w:rPr>
                <w:noProof/>
                <w:webHidden/>
              </w:rPr>
              <w:fldChar w:fldCharType="separate"/>
            </w:r>
            <w:r w:rsidR="006E5C51">
              <w:rPr>
                <w:noProof/>
                <w:webHidden/>
              </w:rPr>
              <w:t>13</w:t>
            </w:r>
            <w:r w:rsidR="006E5C51">
              <w:rPr>
                <w:noProof/>
                <w:webHidden/>
              </w:rPr>
              <w:fldChar w:fldCharType="end"/>
            </w:r>
          </w:hyperlink>
        </w:p>
        <w:p w:rsidRPr="00853BFF" w:rsidR="0041438E" w:rsidP="00853BFF" w:rsidRDefault="008D208E" w14:paraId="0BA6008D" w14:textId="4B0840D6">
          <w:pPr>
            <w:pStyle w:val="TOC2"/>
            <w:tabs>
              <w:tab w:val="left" w:pos="1100"/>
              <w:tab w:val="right" w:leader="dot" w:pos="9350"/>
            </w:tabs>
            <w:rPr>
              <w:rFonts w:asciiTheme="minorHAnsi" w:hAnsiTheme="minorHAnsi" w:eastAsiaTheme="minorEastAsia" w:cstheme="minorBidi"/>
              <w:noProof/>
              <w:sz w:val="22"/>
              <w:szCs w:val="22"/>
              <w:lang w:eastAsia="ja-JP"/>
            </w:rPr>
          </w:pPr>
          <w:r>
            <w:fldChar w:fldCharType="end"/>
          </w:r>
        </w:p>
      </w:sdtContent>
    </w:sdt>
    <w:p w:rsidR="0041438E" w:rsidP="0041438E" w:rsidRDefault="0041438E" w14:paraId="2F76463E" w14:textId="77777777">
      <w:r>
        <w:br w:type="page"/>
      </w:r>
    </w:p>
    <w:p w:rsidR="00B60B22" w:rsidP="00B60B22" w:rsidRDefault="009567CA" w14:paraId="1C0E05DC" w14:textId="75F6A5E1">
      <w:pPr>
        <w:pStyle w:val="Heading1"/>
        <w:numPr>
          <w:ilvl w:val="0"/>
          <w:numId w:val="52"/>
        </w:numPr>
      </w:pPr>
      <w:r>
        <w:lastRenderedPageBreak/>
        <w:t>Introduction</w:t>
      </w:r>
    </w:p>
    <w:p w:rsidR="00B60B22" w:rsidP="00B60B22" w:rsidRDefault="00B60B22" w14:paraId="61037C65" w14:textId="77777777">
      <w:pPr>
        <w:ind w:hanging="14"/>
      </w:pPr>
      <w:r>
        <w:t xml:space="preserve">The Cyber Risk Assessor (CRA) is responsible for providing the Authorizing Official (AO) with an independent “Cyber Risk Analysis” and acceptable “Risk of Use” for the system or capability throughout the entire Operation Vulcan Logic (OVL) Ecosystem Agile Authorization process while focusing on criteria, observables, and overall behaviors. </w:t>
      </w:r>
    </w:p>
    <w:p w:rsidR="00B60B22" w:rsidP="00B60B22" w:rsidRDefault="00B60B22" w14:paraId="5DC826BA" w14:textId="77777777">
      <w:pPr>
        <w:spacing w:after="0" w:line="259" w:lineRule="auto"/>
        <w:ind w:left="5"/>
      </w:pPr>
      <w:r>
        <w:t xml:space="preserve"> </w:t>
      </w:r>
    </w:p>
    <w:p w:rsidR="00B60B22" w:rsidP="00B60B22" w:rsidRDefault="000356ED" w14:paraId="628286F5" w14:textId="5D2B01DC">
      <w:pPr>
        <w:spacing w:after="67" w:line="259" w:lineRule="auto"/>
        <w:ind w:left="-25" w:right="-29"/>
      </w:pPr>
      <w:r>
        <w:rPr>
          <w:noProof/>
        </w:rPr>
        <mc:AlternateContent>
          <mc:Choice Requires="wpg">
            <w:drawing>
              <wp:inline distT="0" distB="0" distL="0" distR="0" wp14:anchorId="76635928" wp14:editId="0988B8ED">
                <wp:extent cx="6003290" cy="6350"/>
                <wp:effectExtent l="3175" t="0" r="3810" b="4445"/>
                <wp:docPr id="1726883106" name="Group 12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6350"/>
                          <a:chOff x="0" y="0"/>
                          <a:chExt cx="60032" cy="63"/>
                        </a:xfrm>
                      </wpg:grpSpPr>
                      <wps:wsp>
                        <wps:cNvPr id="2123474207" name="Shape 14896"/>
                        <wps:cNvSpPr>
                          <a:spLocks/>
                        </wps:cNvSpPr>
                        <wps:spPr bwMode="auto">
                          <a:xfrm>
                            <a:off x="0" y="0"/>
                            <a:ext cx="60032" cy="91"/>
                          </a:xfrm>
                          <a:custGeom>
                            <a:avLst/>
                            <a:gdLst>
                              <a:gd name="T0" fmla="*/ 0 w 6003291"/>
                              <a:gd name="T1" fmla="*/ 0 h 9144"/>
                              <a:gd name="T2" fmla="*/ 6003291 w 6003291"/>
                              <a:gd name="T3" fmla="*/ 0 h 9144"/>
                              <a:gd name="T4" fmla="*/ 6003291 w 6003291"/>
                              <a:gd name="T5" fmla="*/ 9144 h 9144"/>
                              <a:gd name="T6" fmla="*/ 0 w 6003291"/>
                              <a:gd name="T7" fmla="*/ 9144 h 9144"/>
                              <a:gd name="T8" fmla="*/ 0 w 6003291"/>
                              <a:gd name="T9" fmla="*/ 0 h 9144"/>
                              <a:gd name="T10" fmla="*/ 0 w 6003291"/>
                              <a:gd name="T11" fmla="*/ 0 h 9144"/>
                              <a:gd name="T12" fmla="*/ 6003291 w 6003291"/>
                              <a:gd name="T13" fmla="*/ 9144 h 9144"/>
                            </a:gdLst>
                            <a:ahLst/>
                            <a:cxnLst>
                              <a:cxn ang="0">
                                <a:pos x="T0" y="T1"/>
                              </a:cxn>
                              <a:cxn ang="0">
                                <a:pos x="T2" y="T3"/>
                              </a:cxn>
                              <a:cxn ang="0">
                                <a:pos x="T4" y="T5"/>
                              </a:cxn>
                              <a:cxn ang="0">
                                <a:pos x="T6" y="T7"/>
                              </a:cxn>
                              <a:cxn ang="0">
                                <a:pos x="T8" y="T9"/>
                              </a:cxn>
                            </a:cxnLst>
                            <a:rect l="T10" t="T11" r="T12" b="T13"/>
                            <a:pathLst>
                              <a:path w="6003291" h="9144">
                                <a:moveTo>
                                  <a:pt x="0" y="0"/>
                                </a:moveTo>
                                <a:lnTo>
                                  <a:pt x="6003291" y="0"/>
                                </a:lnTo>
                                <a:lnTo>
                                  <a:pt x="6003291" y="9144"/>
                                </a:lnTo>
                                <a:lnTo>
                                  <a:pt x="0" y="9144"/>
                                </a:lnTo>
                                <a:lnTo>
                                  <a:pt x="0" y="0"/>
                                </a:lnTo>
                              </a:path>
                            </a:pathLst>
                          </a:custGeom>
                          <a:solidFill>
                            <a:srgbClr val="2F549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2079" style="width:472.7pt;height:.5pt;mso-position-horizontal-relative:char;mso-position-vertical-relative:line" coordsize="60032,63" o:spid="_x0000_s1026" w14:anchorId="1985A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">
                <v:shape id="Shape 14896" style="position:absolute;width:60032;height:91;visibility:visible;mso-wrap-style:square;v-text-anchor:top" coordsize="6003291,9144" o:spid="_x0000_s1027" fillcolor="#2f5496" stroked="f" strokeweight="0" path="m,l600329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">
                  <v:stroke miterlimit="83231f" joinstyle="miter"/>
                  <v:path textboxrect="0,0,6003291,9144" arrowok="t" o:connecttype="custom" o:connectlocs="0,0;60032,0;60032,91;0,91;0,0" o:connectangles="0,0,0,0,0"/>
                </v:shape>
                <w10:anchorlock/>
              </v:group>
            </w:pict>
          </mc:Fallback>
        </mc:AlternateContent>
      </w:r>
    </w:p>
    <w:p w:rsidRPr="009567CA" w:rsidR="00B60B22" w:rsidP="009567CA" w:rsidRDefault="00B60B22" w14:paraId="44805998" w14:textId="77777777">
      <w:pPr>
        <w:spacing w:after="0" w:line="274" w:lineRule="auto"/>
        <w:ind w:left="5" w:right="8"/>
        <w:rPr>
          <w:color w:val="1D385B"/>
        </w:rPr>
      </w:pPr>
      <w:r w:rsidRPr="009567CA">
        <w:rPr>
          <w:i/>
          <w:color w:val="1D385B"/>
        </w:rPr>
        <w:t xml:space="preserve">A “Risk of Use” is the probability of exposure or loss resulting from a cyber-attack or data breach of an organization, system, or capabilities. In other words, it is the potential loss or harm related to the technical infrastructure, use of technology, or reputation of an organization due to exposure. </w:t>
      </w:r>
    </w:p>
    <w:p w:rsidRPr="009567CA" w:rsidR="00B60B22" w:rsidP="00B60B22" w:rsidRDefault="000356ED" w14:paraId="0AF9E7FA" w14:textId="2778A334">
      <w:pPr>
        <w:spacing w:after="11" w:line="259" w:lineRule="auto"/>
        <w:ind w:left="-25" w:right="-29"/>
        <w:rPr>
          <w:color w:val="1D385B"/>
        </w:rPr>
      </w:pPr>
      <w:r>
        <w:rPr>
          <w:noProof/>
          <w:color w:val="1D385B"/>
        </w:rPr>
        <mc:AlternateContent>
          <mc:Choice Requires="wpg">
            <w:drawing>
              <wp:inline distT="0" distB="0" distL="0" distR="0" wp14:anchorId="168E309F" wp14:editId="00E9E165">
                <wp:extent cx="6003290" cy="6350"/>
                <wp:effectExtent l="3175" t="1905" r="3810" b="1270"/>
                <wp:docPr id="968014281" name="Group 12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6350"/>
                          <a:chOff x="0" y="0"/>
                          <a:chExt cx="60032" cy="63"/>
                        </a:xfrm>
                      </wpg:grpSpPr>
                      <wps:wsp>
                        <wps:cNvPr id="734574544" name="Shape 14898"/>
                        <wps:cNvSpPr>
                          <a:spLocks/>
                        </wps:cNvSpPr>
                        <wps:spPr bwMode="auto">
                          <a:xfrm>
                            <a:off x="0" y="0"/>
                            <a:ext cx="60032" cy="91"/>
                          </a:xfrm>
                          <a:custGeom>
                            <a:avLst/>
                            <a:gdLst>
                              <a:gd name="T0" fmla="*/ 0 w 6003291"/>
                              <a:gd name="T1" fmla="*/ 0 h 9144"/>
                              <a:gd name="T2" fmla="*/ 6003291 w 6003291"/>
                              <a:gd name="T3" fmla="*/ 0 h 9144"/>
                              <a:gd name="T4" fmla="*/ 6003291 w 6003291"/>
                              <a:gd name="T5" fmla="*/ 9144 h 9144"/>
                              <a:gd name="T6" fmla="*/ 0 w 6003291"/>
                              <a:gd name="T7" fmla="*/ 9144 h 9144"/>
                              <a:gd name="T8" fmla="*/ 0 w 6003291"/>
                              <a:gd name="T9" fmla="*/ 0 h 9144"/>
                              <a:gd name="T10" fmla="*/ 0 w 6003291"/>
                              <a:gd name="T11" fmla="*/ 0 h 9144"/>
                              <a:gd name="T12" fmla="*/ 6003291 w 6003291"/>
                              <a:gd name="T13" fmla="*/ 9144 h 9144"/>
                            </a:gdLst>
                            <a:ahLst/>
                            <a:cxnLst>
                              <a:cxn ang="0">
                                <a:pos x="T0" y="T1"/>
                              </a:cxn>
                              <a:cxn ang="0">
                                <a:pos x="T2" y="T3"/>
                              </a:cxn>
                              <a:cxn ang="0">
                                <a:pos x="T4" y="T5"/>
                              </a:cxn>
                              <a:cxn ang="0">
                                <a:pos x="T6" y="T7"/>
                              </a:cxn>
                              <a:cxn ang="0">
                                <a:pos x="T8" y="T9"/>
                              </a:cxn>
                            </a:cxnLst>
                            <a:rect l="T10" t="T11" r="T12" b="T13"/>
                            <a:pathLst>
                              <a:path w="6003291" h="9144">
                                <a:moveTo>
                                  <a:pt x="0" y="0"/>
                                </a:moveTo>
                                <a:lnTo>
                                  <a:pt x="6003291" y="0"/>
                                </a:lnTo>
                                <a:lnTo>
                                  <a:pt x="6003291" y="9144"/>
                                </a:lnTo>
                                <a:lnTo>
                                  <a:pt x="0" y="9144"/>
                                </a:lnTo>
                                <a:lnTo>
                                  <a:pt x="0" y="0"/>
                                </a:lnTo>
                              </a:path>
                            </a:pathLst>
                          </a:custGeom>
                          <a:solidFill>
                            <a:srgbClr val="2F549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2080" style="width:472.7pt;height:.5pt;mso-position-horizontal-relative:char;mso-position-vertical-relative:line" coordsize="60032,63" o:spid="_x0000_s1026" w14:anchorId="7B836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">
                <v:shape id="Shape 14898" style="position:absolute;width:60032;height:91;visibility:visible;mso-wrap-style:square;v-text-anchor:top" coordsize="6003291,9144" o:spid="_x0000_s1027" fillcolor="#2f5496" stroked="f" strokeweight="0" path="m,l600329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">
                  <v:stroke miterlimit="83231f" joinstyle="miter"/>
                  <v:path textboxrect="0,0,6003291,9144" arrowok="t" o:connecttype="custom" o:connectlocs="0,0;60032,0;60032,91;0,91;0,0" o:connectangles="0,0,0,0,0"/>
                </v:shape>
                <w10:anchorlock/>
              </v:group>
            </w:pict>
          </mc:Fallback>
        </mc:AlternateContent>
      </w:r>
    </w:p>
    <w:p w:rsidR="00B60B22" w:rsidP="00B60B22" w:rsidRDefault="00B60B22" w14:paraId="30450770" w14:textId="77777777">
      <w:pPr>
        <w:spacing w:after="20" w:line="259" w:lineRule="auto"/>
        <w:ind w:left="5"/>
      </w:pPr>
      <w:r>
        <w:t xml:space="preserve"> </w:t>
      </w:r>
    </w:p>
    <w:p w:rsidR="00B60B22" w:rsidP="00B60B22" w:rsidRDefault="00B60B22" w14:paraId="633B0E34" w14:textId="77777777">
      <w:r>
        <w:t>To further outline, the CRA is the individual appointed (or representative) in writing by the AO to act on his or her behalf to conduct an “independent” security analysis of the information system, hardware and or software application. The CRA is responsible for conducting a comprehensive analysis of the management, operational, and technical security requirements employed within or inherited by an IS to determine the overall effectiveness (i.e., the extent to which the requirements are implemented correctly, operating as intended, and producing the desired outcome with respect to meeting the security requirements for the system or the environment). CRAs provide a risk analysis of the severity of vulnerabilities, weaknesses, or deficiencies discovered in the IS and its environment of operation as well as recommend corrective actions to address identified vulnerabilities.  The CRA’s accountability is to the AO, but the CRA or Authorizing Official Designated Representative (AODR), on behalf of the AO will inform the Information System Owner (ISO) whether an outcome is satisfactory and whether the system is being maintained at an acceptable level of risk. This coordination provides the ISO and the</w:t>
      </w:r>
      <w:r w:rsidRPr="00DE1D68">
        <w:t xml:space="preserve"> Information System Security Manager (ISSM) </w:t>
      </w:r>
      <w:r>
        <w:t xml:space="preserve">with “periodic” views of the system as well as provides assurance to the CRA that safeguards are implemented appropriately, and the system is being maintained.  Throughout the entire OVL Ecosystem Agile Authorization process, the evidence from the analysis documents the results of the security analysis and provides the AO with the essential information anticipated to make a risk-based determination on whether to authorize the operation of an IS or a determined set of common controls. Unless specifically determined otherwise by the AO, the ISO or common control provider is responsible for the assembly, compilation, and submission of the evidence. The ISO or common control provider obtains input from the CRA, AODR and the AO. </w:t>
      </w:r>
    </w:p>
    <w:p w:rsidR="00B60B22" w:rsidP="00B60B22" w:rsidRDefault="00B60B22" w14:paraId="6B9CDBC5" w14:textId="77777777">
      <w:pPr>
        <w:spacing w:after="35" w:line="259" w:lineRule="auto"/>
        <w:ind w:left="5"/>
      </w:pPr>
      <w:r>
        <w:t xml:space="preserve"> </w:t>
      </w:r>
    </w:p>
    <w:p w:rsidR="00B60B22" w:rsidP="00B60B22" w:rsidRDefault="00B60B22" w14:paraId="7BA81092" w14:textId="55B917DC">
      <w:pPr>
        <w:ind w:hanging="14"/>
      </w:pPr>
      <w:r>
        <w:t xml:space="preserve">The security documentation and supporting evidence is to be sustained and maintained throughout a system’s lifecycle and is further introduced in the CRA Onboarding Process. </w:t>
      </w:r>
      <w:r w:rsidRPr="000356ED">
        <w:t>The</w:t>
      </w:r>
      <w:r w:rsidRPr="000356ED" w:rsidR="00F227E2">
        <w:t xml:space="preserve"> </w:t>
      </w:r>
      <w:r w:rsidRPr="000356ED">
        <w:t>Authorization Package consists of the AO Determination Brief, AO Authorization Memo</w:t>
      </w:r>
      <w:r w:rsidRPr="000356ED" w:rsidR="00F227E2">
        <w:t xml:space="preserve"> and three attachments: Authorization Conditions, Body of Evidence (BOE), and the </w:t>
      </w:r>
      <w:r w:rsidRPr="000356ED" w:rsidR="000356ED">
        <w:t>Information Technology (IT) Categorization and Selection Checklist (ITCSC)</w:t>
      </w:r>
      <w:r w:rsidRPr="000356ED" w:rsidR="00F227E2">
        <w:t>. The Body of E</w:t>
      </w:r>
      <w:r w:rsidRPr="000356ED">
        <w:t>vidence (not limited to) consists of the</w:t>
      </w:r>
      <w:r w:rsidRPr="000356ED" w:rsidR="00F227E2">
        <w:t xml:space="preserve"> S</w:t>
      </w:r>
      <w:r w:rsidRPr="000356ED">
        <w:t xml:space="preserve">ecurity Assessment Plan (SAP), Risk Analysis Report (RAR), </w:t>
      </w:r>
      <w:r w:rsidRPr="000356ED">
        <w:lastRenderedPageBreak/>
        <w:t xml:space="preserve">Security Assessment Report (SAR), </w:t>
      </w:r>
      <w:r w:rsidRPr="000356ED" w:rsidR="00F227E2">
        <w:t xml:space="preserve">CONOPS, </w:t>
      </w:r>
      <w:r w:rsidRPr="000356ED">
        <w:t xml:space="preserve">Hardware and Software List, System Security Plan (SSP), Security Controls Traceability Matrix (SCTM), </w:t>
      </w:r>
      <w:r w:rsidRPr="000356ED" w:rsidR="00F227E2">
        <w:t xml:space="preserve">STIGs, </w:t>
      </w:r>
      <w:r w:rsidRPr="000356ED">
        <w:t>ACAS Scans, Con</w:t>
      </w:r>
      <w:r w:rsidRPr="000356ED" w:rsidR="000356ED">
        <w:t xml:space="preserve">tinuous </w:t>
      </w:r>
      <w:r w:rsidRPr="000356ED">
        <w:t>Mon</w:t>
      </w:r>
      <w:r w:rsidRPr="000356ED" w:rsidR="000356ED">
        <w:t>itoring</w:t>
      </w:r>
      <w:r w:rsidRPr="000356ED">
        <w:t>, Incident Response and Contingency Plans</w:t>
      </w:r>
      <w:r w:rsidRPr="000356ED" w:rsidR="00F227E2">
        <w:t xml:space="preserve">, </w:t>
      </w:r>
      <w:r w:rsidRPr="000356ED" w:rsidR="000356ED">
        <w:t>Plan of Actions and Milestones (</w:t>
      </w:r>
      <w:r w:rsidRPr="000356ED" w:rsidR="00F227E2">
        <w:t>POA&amp;M</w:t>
      </w:r>
      <w:r w:rsidRPr="000356ED" w:rsidR="000356ED">
        <w:t>)</w:t>
      </w:r>
      <w:r w:rsidRPr="000356ED" w:rsidR="00F227E2">
        <w:t xml:space="preserve"> and Cyber Security Strategy</w:t>
      </w:r>
      <w:r w:rsidRPr="000356ED">
        <w:t>.</w:t>
      </w:r>
      <w:r>
        <w:t xml:space="preserve">  </w:t>
      </w:r>
    </w:p>
    <w:p w:rsidR="00B60B22" w:rsidP="00B60B22" w:rsidRDefault="00B60B22" w14:paraId="7990A28D" w14:textId="77777777">
      <w:pPr>
        <w:ind w:hanging="14"/>
      </w:pPr>
    </w:p>
    <w:p w:rsidR="00B60B22" w:rsidP="00B60B22" w:rsidRDefault="009567CA" w14:paraId="3CB9029E" w14:textId="66396378">
      <w:pPr>
        <w:pStyle w:val="Heading1"/>
        <w:numPr>
          <w:ilvl w:val="0"/>
          <w:numId w:val="52"/>
        </w:numPr>
      </w:pPr>
      <w:bookmarkStart w:name="_Toc99376554" w:id="14"/>
      <w:bookmarkEnd w:id="14"/>
      <w:r>
        <w:t>Cyber Risk Assessor Resposibilities</w:t>
      </w:r>
    </w:p>
    <w:p w:rsidR="00B60B22" w:rsidP="00B60B22" w:rsidRDefault="00B60B22" w14:paraId="20A649EE" w14:textId="13903C86">
      <w:r>
        <w:t xml:space="preserve">The CRA is an AO appointed role, with the authority and responsibility for the analysis of all ISs and PIT systems governed by a Department of Defense (DoD) Component Cybersecurity Program.  CRA’s evaluate the cybersecurity capabilities and services of DoD IS and </w:t>
      </w:r>
      <w:r w:rsidR="00097860">
        <w:t>capabilities</w:t>
      </w:r>
      <w:r>
        <w:t xml:space="preserve"> and make recommendations to the AO. This recommendation accompanies the supporting evidence and serves as the primary basis for the AO’s authorization determination. The CRA continuously works with the program to analyze and guide the quality and completeness of activities. The Component SISO either performs the CRA functions or formally appoints CRA Representatives to do so for all governed ISs and </w:t>
      </w:r>
      <w:r w:rsidR="00097860">
        <w:t>capabilities</w:t>
      </w:r>
      <w:r>
        <w:t xml:space="preserve">. </w:t>
      </w:r>
    </w:p>
    <w:p w:rsidR="00B60B22" w:rsidP="00B60B22" w:rsidRDefault="00B60B22" w14:paraId="266F03D5" w14:textId="77777777">
      <w:pPr>
        <w:spacing w:after="20" w:line="259" w:lineRule="auto"/>
        <w:ind w:left="5"/>
      </w:pPr>
      <w:r>
        <w:t xml:space="preserve"> </w:t>
      </w:r>
    </w:p>
    <w:p w:rsidR="00B60B22" w:rsidP="00B60B22" w:rsidRDefault="00B60B22" w14:paraId="0BF2CA17" w14:textId="77777777">
      <w:pPr>
        <w:spacing w:after="29"/>
      </w:pPr>
      <w:r>
        <w:t>The AO and the ISO rely on the technical expertise and judgment of assessors to:</w:t>
      </w:r>
      <w:r>
        <w:rPr>
          <w:color w:val="FF0000"/>
        </w:rPr>
        <w:t xml:space="preserve"> </w:t>
      </w:r>
    </w:p>
    <w:p w:rsidR="00B60B22" w:rsidP="00B60B22" w:rsidRDefault="00B60B22" w14:paraId="7C3F814F" w14:textId="77777777">
      <w:pPr>
        <w:widowControl/>
        <w:numPr>
          <w:ilvl w:val="0"/>
          <w:numId w:val="43"/>
        </w:numPr>
        <w:autoSpaceDE/>
        <w:autoSpaceDN/>
        <w:spacing w:after="5" w:line="269" w:lineRule="auto"/>
        <w:ind w:hanging="360"/>
      </w:pPr>
      <w:r>
        <w:t xml:space="preserve">Develop, review, and document a plan to assess the security requirements. </w:t>
      </w:r>
    </w:p>
    <w:p w:rsidR="00B60B22" w:rsidP="00B60B22" w:rsidRDefault="00B60B22" w14:paraId="2B50B34E" w14:textId="77777777">
      <w:pPr>
        <w:widowControl/>
        <w:numPr>
          <w:ilvl w:val="0"/>
          <w:numId w:val="43"/>
        </w:numPr>
        <w:autoSpaceDE/>
        <w:autoSpaceDN/>
        <w:spacing w:after="32" w:line="269" w:lineRule="auto"/>
        <w:ind w:hanging="360"/>
      </w:pPr>
      <w:r>
        <w:t xml:space="preserve">Assess the requirements employed within or inherited by the information system using procedures specified in the security assessment plan.  </w:t>
      </w:r>
    </w:p>
    <w:p w:rsidR="00B60B22" w:rsidP="00B60B22" w:rsidRDefault="00B60B22" w14:paraId="51FB77B3" w14:textId="77777777">
      <w:pPr>
        <w:widowControl/>
        <w:numPr>
          <w:ilvl w:val="0"/>
          <w:numId w:val="43"/>
        </w:numPr>
        <w:autoSpaceDE/>
        <w:autoSpaceDN/>
        <w:spacing w:after="32" w:line="269" w:lineRule="auto"/>
        <w:ind w:hanging="360"/>
      </w:pPr>
      <w:r>
        <w:t xml:space="preserve">Provide specific recommendations on how to correct weaknesses or deficiencies and reduce or eliminate identified vulnerabilities.  </w:t>
      </w:r>
    </w:p>
    <w:p w:rsidR="00B60B22" w:rsidP="00B60B22" w:rsidRDefault="00B60B22" w14:paraId="372BE8FE" w14:textId="77777777">
      <w:pPr>
        <w:widowControl/>
        <w:numPr>
          <w:ilvl w:val="0"/>
          <w:numId w:val="43"/>
        </w:numPr>
        <w:autoSpaceDE/>
        <w:autoSpaceDN/>
        <w:spacing w:after="27" w:line="269" w:lineRule="auto"/>
        <w:ind w:hanging="360"/>
      </w:pPr>
      <w:r>
        <w:t xml:space="preserve">Conduct initial remediation actions on the findings and recommendations of the security assessment report and reassess remediated mitigations, as appropriate. </w:t>
      </w:r>
    </w:p>
    <w:p w:rsidR="00B60B22" w:rsidP="00B60B22" w:rsidRDefault="00B60B22" w14:paraId="2A961F62" w14:textId="77777777">
      <w:pPr>
        <w:widowControl/>
        <w:numPr>
          <w:ilvl w:val="0"/>
          <w:numId w:val="43"/>
        </w:numPr>
        <w:autoSpaceDE/>
        <w:autoSpaceDN/>
        <w:spacing w:after="27" w:line="269" w:lineRule="auto"/>
        <w:ind w:hanging="360"/>
      </w:pPr>
      <w:r>
        <w:t xml:space="preserve">Assess a selected subset of the technical, management, and operational security controls employed within and inherited by the information system in accordance with the organization-defined monitoring strategy. </w:t>
      </w:r>
    </w:p>
    <w:p w:rsidR="00B60B22" w:rsidP="00B60B22" w:rsidRDefault="00B60B22" w14:paraId="5C3EB489" w14:textId="77777777">
      <w:pPr>
        <w:widowControl/>
        <w:numPr>
          <w:ilvl w:val="0"/>
          <w:numId w:val="43"/>
        </w:numPr>
        <w:autoSpaceDE/>
        <w:autoSpaceDN/>
        <w:spacing w:after="31" w:line="269" w:lineRule="auto"/>
        <w:ind w:hanging="360"/>
      </w:pPr>
      <w:r>
        <w:t xml:space="preserve">Prepare the final authorization package, create, and submit the Risk Assessment Report and Risk Recommendation Letter and submit to and obtain the AO’s signature on the authorization determination document(s), transmitting the authorization package to appropriate officials.  </w:t>
      </w:r>
    </w:p>
    <w:p w:rsidR="00B60B22" w:rsidP="00B60B22" w:rsidRDefault="00B60B22" w14:paraId="6CA0E5FA" w14:textId="77777777">
      <w:pPr>
        <w:widowControl/>
        <w:numPr>
          <w:ilvl w:val="0"/>
          <w:numId w:val="43"/>
        </w:numPr>
        <w:autoSpaceDE/>
        <w:autoSpaceDN/>
        <w:spacing w:after="5" w:line="269" w:lineRule="auto"/>
        <w:ind w:hanging="360"/>
      </w:pPr>
      <w:r>
        <w:t xml:space="preserve">Make certain determinations about the planning and resourcing of the security authorization process, approval of the security plan, approval, and monitoring of the implementation of plans of action and milestones, and the assessment and/or determination of risk.  </w:t>
      </w:r>
    </w:p>
    <w:p w:rsidR="00B60B22" w:rsidP="00B60B22" w:rsidRDefault="00B60B22" w14:paraId="73A38B79" w14:textId="77777777">
      <w:pPr>
        <w:spacing w:after="20" w:line="259" w:lineRule="auto"/>
        <w:ind w:left="726"/>
      </w:pPr>
      <w:r>
        <w:t xml:space="preserve"> </w:t>
      </w:r>
    </w:p>
    <w:p w:rsidR="00B60B22" w:rsidP="00B60B22" w:rsidRDefault="00B60B22" w14:paraId="642A9146" w14:textId="77777777">
      <w:r>
        <w:t xml:space="preserve">The findings are an unbiased, factual reporting of the weaknesses and deficiencies discovered during the analysis.  The organization ensures assessors have access to: </w:t>
      </w:r>
    </w:p>
    <w:p w:rsidR="00B60B22" w:rsidP="00B60B22" w:rsidRDefault="00B60B22" w14:paraId="50140F0F" w14:textId="77777777">
      <w:pPr>
        <w:widowControl/>
        <w:numPr>
          <w:ilvl w:val="0"/>
          <w:numId w:val="43"/>
        </w:numPr>
        <w:autoSpaceDE/>
        <w:autoSpaceDN/>
        <w:spacing w:after="5" w:line="269" w:lineRule="auto"/>
        <w:ind w:hanging="360"/>
      </w:pPr>
      <w:r>
        <w:t xml:space="preserve">The information system and environment of operation. </w:t>
      </w:r>
    </w:p>
    <w:p w:rsidR="00B60B22" w:rsidP="00B60B22" w:rsidRDefault="00B60B22" w14:paraId="2C928A1E" w14:textId="77777777">
      <w:pPr>
        <w:widowControl/>
        <w:numPr>
          <w:ilvl w:val="0"/>
          <w:numId w:val="43"/>
        </w:numPr>
        <w:autoSpaceDE/>
        <w:autoSpaceDN/>
        <w:spacing w:after="5" w:line="269" w:lineRule="auto"/>
        <w:ind w:hanging="360"/>
      </w:pPr>
      <w:r>
        <w:lastRenderedPageBreak/>
        <w:t xml:space="preserve">The appropriate documentation, records, artifacts, test results, and other materials </w:t>
      </w:r>
      <w:proofErr w:type="gramStart"/>
      <w:r>
        <w:t>needed</w:t>
      </w:r>
      <w:proofErr w:type="gramEnd"/>
      <w:r>
        <w:t xml:space="preserve"> to assess the requirements. </w:t>
      </w:r>
    </w:p>
    <w:p w:rsidR="00B60B22" w:rsidP="00B60B22" w:rsidRDefault="00B60B22" w14:paraId="0CC9684F" w14:textId="77777777">
      <w:pPr>
        <w:ind w:left="726"/>
      </w:pPr>
    </w:p>
    <w:p w:rsidR="00B60B22" w:rsidP="00B60B22" w:rsidRDefault="009567CA" w14:paraId="25B35626" w14:textId="3B38F52D">
      <w:pPr>
        <w:pStyle w:val="Heading1"/>
        <w:numPr>
          <w:ilvl w:val="0"/>
          <w:numId w:val="52"/>
        </w:numPr>
      </w:pPr>
      <w:r>
        <w:t>Objectives</w:t>
      </w:r>
    </w:p>
    <w:p w:rsidRPr="00CA22AE" w:rsidR="00CA22AE" w:rsidP="00CA22AE" w:rsidRDefault="00CA22AE" w14:paraId="462FE563" w14:textId="77777777">
      <w:pPr>
        <w:pStyle w:val="ListParagraph"/>
        <w:keepNext/>
        <w:keepLines/>
        <w:widowControl/>
        <w:numPr>
          <w:ilvl w:val="0"/>
          <w:numId w:val="1"/>
        </w:numPr>
        <w:autoSpaceDE/>
        <w:autoSpaceDN/>
        <w:spacing w:before="480" w:after="284" w:line="276" w:lineRule="auto"/>
        <w:ind w:right="720"/>
        <w:jc w:val="both"/>
        <w:outlineLvl w:val="1"/>
        <w:rPr>
          <w:rFonts w:eastAsia="Lato"/>
          <w:b/>
          <w:bCs/>
          <w:vanish/>
          <w:color w:val="365F91" w:themeColor="accent1" w:themeShade="BF"/>
        </w:rPr>
      </w:pPr>
      <w:bookmarkStart w:name="_Toc100583228" w:id="15"/>
    </w:p>
    <w:p w:rsidRPr="00CA22AE" w:rsidR="00CA22AE" w:rsidP="00CA22AE" w:rsidRDefault="00CA22AE" w14:paraId="6230B865" w14:textId="77777777">
      <w:pPr>
        <w:pStyle w:val="ListParagraph"/>
        <w:keepNext/>
        <w:keepLines/>
        <w:widowControl/>
        <w:numPr>
          <w:ilvl w:val="0"/>
          <w:numId w:val="1"/>
        </w:numPr>
        <w:autoSpaceDE/>
        <w:autoSpaceDN/>
        <w:spacing w:before="480" w:after="284" w:line="276" w:lineRule="auto"/>
        <w:ind w:right="720"/>
        <w:jc w:val="both"/>
        <w:outlineLvl w:val="1"/>
        <w:rPr>
          <w:rFonts w:eastAsia="Lato"/>
          <w:b/>
          <w:bCs/>
          <w:vanish/>
          <w:color w:val="365F91" w:themeColor="accent1" w:themeShade="BF"/>
        </w:rPr>
      </w:pPr>
    </w:p>
    <w:p w:rsidRPr="00CA22AE" w:rsidR="00CA22AE" w:rsidP="00CA22AE" w:rsidRDefault="00CA22AE" w14:paraId="76E87340" w14:textId="77777777">
      <w:pPr>
        <w:pStyle w:val="ListParagraph"/>
        <w:keepNext/>
        <w:keepLines/>
        <w:widowControl/>
        <w:numPr>
          <w:ilvl w:val="0"/>
          <w:numId w:val="1"/>
        </w:numPr>
        <w:autoSpaceDE/>
        <w:autoSpaceDN/>
        <w:spacing w:before="480" w:after="284" w:line="276" w:lineRule="auto"/>
        <w:ind w:right="720"/>
        <w:jc w:val="both"/>
        <w:outlineLvl w:val="1"/>
        <w:rPr>
          <w:rFonts w:eastAsia="Lato"/>
          <w:b/>
          <w:bCs/>
          <w:vanish/>
          <w:color w:val="365F91" w:themeColor="accent1" w:themeShade="BF"/>
        </w:rPr>
      </w:pPr>
    </w:p>
    <w:p w:rsidR="00B60B22" w:rsidP="00CA22AE" w:rsidRDefault="00B60B22" w14:paraId="6BFCB32A" w14:textId="021EE94A">
      <w:pPr>
        <w:pStyle w:val="Heading2"/>
        <w:ind w:left="710"/>
      </w:pPr>
      <w:r>
        <w:t>Simplified Authorizations</w:t>
      </w:r>
      <w:bookmarkEnd w:id="15"/>
      <w:r>
        <w:t xml:space="preserve"> </w:t>
      </w:r>
    </w:p>
    <w:p w:rsidR="00B60B22" w:rsidP="00B60B22" w:rsidRDefault="00B60B22" w14:paraId="58723769" w14:textId="77777777">
      <w:pPr>
        <w:widowControl/>
        <w:numPr>
          <w:ilvl w:val="0"/>
          <w:numId w:val="44"/>
        </w:numPr>
        <w:autoSpaceDE/>
        <w:autoSpaceDN/>
        <w:spacing w:after="5" w:line="269" w:lineRule="auto"/>
        <w:ind w:hanging="360"/>
        <w:jc w:val="both"/>
      </w:pPr>
      <w:r>
        <w:rPr>
          <w:b/>
        </w:rPr>
        <w:t>Phase 1</w:t>
      </w:r>
      <w:r>
        <w:t xml:space="preserve">: Systems/Systems Security Engineering, Evidentiary Data and Analysis. </w:t>
      </w:r>
    </w:p>
    <w:p w:rsidR="00B60B22" w:rsidP="00B60B22" w:rsidRDefault="00B60B22" w14:paraId="30C49960" w14:textId="77777777">
      <w:pPr>
        <w:widowControl/>
        <w:numPr>
          <w:ilvl w:val="1"/>
          <w:numId w:val="44"/>
        </w:numPr>
        <w:autoSpaceDE/>
        <w:autoSpaceDN/>
        <w:spacing w:after="49" w:line="269" w:lineRule="auto"/>
        <w:ind w:hanging="360"/>
        <w:jc w:val="both"/>
      </w:pPr>
      <w:r>
        <w:t xml:space="preserve">Output: Standard Acquisition Systems Engineering Data. </w:t>
      </w:r>
    </w:p>
    <w:p w:rsidR="00B60B22" w:rsidP="00B60B22" w:rsidRDefault="00B60B22" w14:paraId="013CD6BD" w14:textId="77777777">
      <w:pPr>
        <w:widowControl/>
        <w:numPr>
          <w:ilvl w:val="0"/>
          <w:numId w:val="44"/>
        </w:numPr>
        <w:autoSpaceDE/>
        <w:autoSpaceDN/>
        <w:spacing w:after="5" w:line="269" w:lineRule="auto"/>
        <w:ind w:hanging="360"/>
        <w:jc w:val="both"/>
      </w:pPr>
      <w:r>
        <w:rPr>
          <w:b/>
        </w:rPr>
        <w:t>Phase 2</w:t>
      </w:r>
      <w:r>
        <w:t xml:space="preserve">: Collaboration with the AO/CRA. </w:t>
      </w:r>
    </w:p>
    <w:p w:rsidR="00B60B22" w:rsidP="00B60B22" w:rsidRDefault="00B60B22" w14:paraId="1606C27E" w14:textId="77777777">
      <w:pPr>
        <w:widowControl/>
        <w:numPr>
          <w:ilvl w:val="1"/>
          <w:numId w:val="44"/>
        </w:numPr>
        <w:autoSpaceDE/>
        <w:autoSpaceDN/>
        <w:spacing w:after="55" w:line="269" w:lineRule="auto"/>
        <w:ind w:hanging="360"/>
        <w:jc w:val="both"/>
      </w:pPr>
      <w:r>
        <w:t xml:space="preserve">Output: Scope of the assessment criteria and outcomes. </w:t>
      </w:r>
    </w:p>
    <w:p w:rsidR="00B60B22" w:rsidP="00B60B22" w:rsidRDefault="00B60B22" w14:paraId="1C60073C" w14:textId="77777777">
      <w:pPr>
        <w:widowControl/>
        <w:numPr>
          <w:ilvl w:val="0"/>
          <w:numId w:val="44"/>
        </w:numPr>
        <w:autoSpaceDE/>
        <w:autoSpaceDN/>
        <w:spacing w:after="5" w:line="269" w:lineRule="auto"/>
        <w:ind w:hanging="360"/>
        <w:jc w:val="both"/>
      </w:pPr>
      <w:r>
        <w:rPr>
          <w:b/>
        </w:rPr>
        <w:t>Phase 3</w:t>
      </w:r>
      <w:r>
        <w:t xml:space="preserve">: Continually Execute Risk Assessment. </w:t>
      </w:r>
    </w:p>
    <w:p w:rsidR="00B60B22" w:rsidP="00B60B22" w:rsidRDefault="00B60B22" w14:paraId="2B025543" w14:textId="77777777">
      <w:pPr>
        <w:widowControl/>
        <w:numPr>
          <w:ilvl w:val="1"/>
          <w:numId w:val="44"/>
        </w:numPr>
        <w:autoSpaceDE/>
        <w:autoSpaceDN/>
        <w:spacing w:after="5" w:line="269" w:lineRule="auto"/>
        <w:ind w:hanging="360"/>
        <w:jc w:val="both"/>
      </w:pPr>
      <w:r>
        <w:t xml:space="preserve">Output: Providing of the Determination Briefing to the AO. </w:t>
      </w:r>
    </w:p>
    <w:p w:rsidR="00B60B22" w:rsidP="00B60B22" w:rsidRDefault="00B60B22" w14:paraId="138DBFF9" w14:textId="77777777">
      <w:pPr>
        <w:spacing w:after="0" w:line="259" w:lineRule="auto"/>
        <w:ind w:left="726"/>
      </w:pPr>
      <w:r>
        <w:t xml:space="preserve"> </w:t>
      </w:r>
    </w:p>
    <w:p w:rsidRPr="007F4626" w:rsidR="00B60B22" w:rsidP="00B60B22" w:rsidRDefault="00B60B22" w14:paraId="400A805F" w14:textId="77777777">
      <w:pPr>
        <w:spacing w:after="213"/>
        <w:rPr>
          <w:b/>
          <w:bCs/>
          <w:i/>
          <w:iCs/>
        </w:rPr>
      </w:pPr>
      <w:r w:rsidRPr="007F4626">
        <w:rPr>
          <w:b/>
          <w:bCs/>
          <w:i/>
          <w:iCs/>
        </w:rPr>
        <w:t xml:space="preserve">Note: </w:t>
      </w:r>
      <w:r w:rsidRPr="007F4626">
        <w:rPr>
          <w:i/>
          <w:iCs/>
        </w:rPr>
        <w:t>See CRA Onboarding Process for specific details.</w:t>
      </w:r>
      <w:r w:rsidRPr="007F4626">
        <w:rPr>
          <w:b/>
          <w:bCs/>
          <w:i/>
          <w:iCs/>
        </w:rPr>
        <w:t xml:space="preserve"> </w:t>
      </w:r>
    </w:p>
    <w:p w:rsidR="00B60B22" w:rsidP="00B60B22" w:rsidRDefault="00CB1A3F" w14:paraId="6DEB9496" w14:textId="24B7C474">
      <w:pPr>
        <w:pStyle w:val="Heading2"/>
        <w:ind w:left="351" w:hanging="361"/>
      </w:pPr>
      <w:bookmarkStart w:name="_Toc100583229" w:id="16"/>
      <w:r>
        <w:t xml:space="preserve">        </w:t>
      </w:r>
      <w:r w:rsidR="00B60B22">
        <w:t>Develop and Document a Security Assessment Plan</w:t>
      </w:r>
      <w:bookmarkEnd w:id="16"/>
      <w:r w:rsidR="00B60B22">
        <w:t xml:space="preserve"> </w:t>
      </w:r>
    </w:p>
    <w:p w:rsidR="00B60B22" w:rsidP="00B60B22" w:rsidRDefault="00B60B22" w14:paraId="01B03F5F" w14:textId="77777777">
      <w:r>
        <w:t xml:space="preserve">The CRA develops the Security Assessment Plan, and the AO or their representative reviews the plan. The purpose of the security assessment plan is to establish the appropriate expectations for the assessment and bind the level of effort. </w:t>
      </w:r>
    </w:p>
    <w:p w:rsidR="00B60B22" w:rsidP="00B60B22" w:rsidRDefault="00B60B22" w14:paraId="617BE32C" w14:textId="77777777">
      <w:pPr>
        <w:spacing w:after="20" w:line="259" w:lineRule="auto"/>
        <w:ind w:left="5"/>
      </w:pPr>
      <w:r>
        <w:t xml:space="preserve"> </w:t>
      </w:r>
    </w:p>
    <w:p w:rsidR="00B60B22" w:rsidP="00B60B22" w:rsidRDefault="00B60B22" w14:paraId="68C6E9A6" w14:textId="77777777">
      <w:pPr>
        <w:spacing w:after="29"/>
      </w:pPr>
      <w:r>
        <w:t xml:space="preserve">Preparing for an assessment includes the following key activities: </w:t>
      </w:r>
    </w:p>
    <w:p w:rsidR="00B60B22" w:rsidP="00B60B22" w:rsidRDefault="00B60B22" w14:paraId="31FE6DE8" w14:textId="77777777">
      <w:pPr>
        <w:widowControl/>
        <w:numPr>
          <w:ilvl w:val="0"/>
          <w:numId w:val="45"/>
        </w:numPr>
        <w:autoSpaceDE/>
        <w:autoSpaceDN/>
        <w:spacing w:after="32" w:line="269" w:lineRule="auto"/>
        <w:ind w:hanging="360"/>
      </w:pPr>
      <w:r>
        <w:t xml:space="preserve">Ensuring appropriate policies covering assessments are in place and understood by all stakeholders. </w:t>
      </w:r>
    </w:p>
    <w:p w:rsidR="00B60B22" w:rsidP="00B60B22" w:rsidRDefault="00B60B22" w14:paraId="08CB26A4" w14:textId="77777777">
      <w:pPr>
        <w:widowControl/>
        <w:numPr>
          <w:ilvl w:val="0"/>
          <w:numId w:val="45"/>
        </w:numPr>
        <w:autoSpaceDE/>
        <w:autoSpaceDN/>
        <w:spacing w:after="26" w:line="269" w:lineRule="auto"/>
        <w:ind w:hanging="360"/>
      </w:pPr>
      <w:r>
        <w:t xml:space="preserve">Ensuring all steps prior to the assessment step have been successfully completed and received appropriate management oversight. </w:t>
      </w:r>
    </w:p>
    <w:p w:rsidR="00B60B22" w:rsidP="00B60B22" w:rsidRDefault="00B60B22" w14:paraId="74960E62" w14:textId="77777777">
      <w:pPr>
        <w:widowControl/>
        <w:numPr>
          <w:ilvl w:val="0"/>
          <w:numId w:val="45"/>
        </w:numPr>
        <w:autoSpaceDE/>
        <w:autoSpaceDN/>
        <w:spacing w:after="26" w:line="269" w:lineRule="auto"/>
        <w:ind w:hanging="360"/>
      </w:pPr>
      <w:r>
        <w:t xml:space="preserve">Ensuring the requirements identified as common (and the common portion of hybrid requirements) have been assigned to appropriate entities (such as common control providers) for development and implementation. </w:t>
      </w:r>
    </w:p>
    <w:p w:rsidR="00B60B22" w:rsidP="00B60B22" w:rsidRDefault="00B60B22" w14:paraId="3BB2B745" w14:textId="77777777">
      <w:pPr>
        <w:widowControl/>
        <w:numPr>
          <w:ilvl w:val="0"/>
          <w:numId w:val="45"/>
        </w:numPr>
        <w:autoSpaceDE/>
        <w:autoSpaceDN/>
        <w:spacing w:after="246" w:line="269" w:lineRule="auto"/>
        <w:ind w:hanging="360"/>
      </w:pPr>
      <w:r>
        <w:t xml:space="preserve">Establishing the objective and scope of the assessment, the purpose of the assessment, and what is being assessed. </w:t>
      </w:r>
    </w:p>
    <w:p w:rsidR="00B60B22" w:rsidP="00B60B22" w:rsidRDefault="00CB1A3F" w14:paraId="522D9AAC" w14:textId="20BA6EDE">
      <w:pPr>
        <w:pStyle w:val="Heading2"/>
        <w:ind w:left="351" w:hanging="361"/>
      </w:pPr>
      <w:bookmarkStart w:name="_Toc100583230" w:id="17"/>
      <w:r>
        <w:t xml:space="preserve">       </w:t>
      </w:r>
      <w:r w:rsidR="00B60B22">
        <w:t>Security Requirements</w:t>
      </w:r>
      <w:bookmarkEnd w:id="17"/>
      <w:r w:rsidR="00B60B22">
        <w:t xml:space="preserve"> </w:t>
      </w:r>
    </w:p>
    <w:p w:rsidR="00B60B22" w:rsidP="00B60B22" w:rsidRDefault="00B60B22" w14:paraId="3A9392B3" w14:textId="77777777">
      <w:r>
        <w:t xml:space="preserve">Proper analysis determines the extent to which the requirements are implemented correctly, operate as intended, and produce the desired outcome. Assessments occur as early as practical in the System Development Lifecycle (SDLC), preferably during the development phase of the information system. Related activities may include design and code reviews, application </w:t>
      </w:r>
      <w:r>
        <w:lastRenderedPageBreak/>
        <w:t xml:space="preserve">scanning, and regression testing. </w:t>
      </w:r>
    </w:p>
    <w:p w:rsidR="00B60B22" w:rsidP="00B60B22" w:rsidRDefault="00B60B22" w14:paraId="4A6FAB2D" w14:textId="77777777">
      <w:pPr>
        <w:spacing w:after="20" w:line="259" w:lineRule="auto"/>
        <w:ind w:left="5"/>
      </w:pPr>
      <w:r>
        <w:t xml:space="preserve"> </w:t>
      </w:r>
    </w:p>
    <w:p w:rsidR="00B60B22" w:rsidP="00B60B22" w:rsidRDefault="00B60B22" w14:paraId="3906C87F" w14:textId="77777777">
      <w:r>
        <w:t>Organizations should consider both the technical expertise and level of independence</w:t>
      </w:r>
      <w:r>
        <w:rPr>
          <w:i/>
        </w:rPr>
        <w:t xml:space="preserve"> </w:t>
      </w:r>
      <w:r>
        <w:t xml:space="preserve">required in selecting security assessors. Ensure security assessors possess the required skills and technical expertise to successfully carry out assessments of all aspects, to include system-specific, hybrid, and common requirements. </w:t>
      </w:r>
    </w:p>
    <w:p w:rsidR="00B60B22" w:rsidP="00B60B22" w:rsidRDefault="00CB1A3F" w14:paraId="2FB25E4E" w14:textId="06C5B93C">
      <w:pPr>
        <w:pStyle w:val="Heading2"/>
        <w:ind w:left="351" w:hanging="361"/>
      </w:pPr>
      <w:bookmarkStart w:name="_Toc100583231" w:id="18"/>
      <w:r>
        <w:t xml:space="preserve">       </w:t>
      </w:r>
      <w:r w:rsidR="00B60B22">
        <w:t>Security Analysis</w:t>
      </w:r>
      <w:bookmarkEnd w:id="18"/>
      <w:r w:rsidR="00B60B22">
        <w:t xml:space="preserve"> </w:t>
      </w:r>
    </w:p>
    <w:p w:rsidR="00B60B22" w:rsidP="00B60B22" w:rsidRDefault="00B60B22" w14:paraId="68D8AE60" w14:textId="77777777">
      <w:proofErr w:type="gramStart"/>
      <w:r>
        <w:t>An</w:t>
      </w:r>
      <w:proofErr w:type="gramEnd"/>
      <w:r>
        <w:t xml:space="preserve"> documented security assessment plan helps to ensure an appropriate level of resources are applied toward determining mitigation effectiveness. When security requirements are provided to an organization by an external provider (such as through contracts, licensing agreements, etc.), obtain a security assessment plan from the provider. </w:t>
      </w:r>
    </w:p>
    <w:p w:rsidR="00B60B22" w:rsidP="00B60B22" w:rsidRDefault="00B60B22" w14:paraId="5BA6831F" w14:textId="77777777">
      <w:pPr>
        <w:spacing w:after="20" w:line="259" w:lineRule="auto"/>
        <w:ind w:left="5"/>
      </w:pPr>
      <w:r>
        <w:t xml:space="preserve"> </w:t>
      </w:r>
    </w:p>
    <w:p w:rsidR="00B60B22" w:rsidP="00B60B22" w:rsidRDefault="00B60B22" w14:paraId="1E012BD5" w14:textId="77777777">
      <w:pPr>
        <w:spacing w:after="32"/>
      </w:pPr>
      <w:r>
        <w:t xml:space="preserve">The following steps are considered in developing plans to assess security requirements in organizational information systems or security requirements inherited by those systems: </w:t>
      </w:r>
    </w:p>
    <w:p w:rsidR="00B60B22" w:rsidP="00B60B22" w:rsidRDefault="00B60B22" w14:paraId="2DFB4F9D" w14:textId="77777777">
      <w:pPr>
        <w:widowControl/>
        <w:numPr>
          <w:ilvl w:val="0"/>
          <w:numId w:val="46"/>
        </w:numPr>
        <w:autoSpaceDE/>
        <w:autoSpaceDN/>
        <w:spacing w:after="27" w:line="269" w:lineRule="auto"/>
        <w:ind w:hanging="360"/>
      </w:pPr>
      <w:r>
        <w:t xml:space="preserve">Determine which security requirements and enhancements are to be included in the assessment based upon the contents of the supporting evidence and the scope of the assessment. </w:t>
      </w:r>
    </w:p>
    <w:p w:rsidR="00B60B22" w:rsidP="00B60B22" w:rsidRDefault="00B60B22" w14:paraId="1D2A0D95" w14:textId="77777777">
      <w:pPr>
        <w:widowControl/>
        <w:numPr>
          <w:ilvl w:val="0"/>
          <w:numId w:val="46"/>
        </w:numPr>
        <w:autoSpaceDE/>
        <w:autoSpaceDN/>
        <w:spacing w:after="32" w:line="269" w:lineRule="auto"/>
        <w:ind w:hanging="360"/>
      </w:pPr>
      <w:r>
        <w:t xml:space="preserve">Select the appropriate assessment procedures to be used during the assessment based on the security requirements and enhancements to be included in the assessment. </w:t>
      </w:r>
    </w:p>
    <w:p w:rsidR="00B60B22" w:rsidP="00B60B22" w:rsidRDefault="00B60B22" w14:paraId="7157D4E8" w14:textId="77777777">
      <w:pPr>
        <w:widowControl/>
        <w:numPr>
          <w:ilvl w:val="0"/>
          <w:numId w:val="46"/>
        </w:numPr>
        <w:autoSpaceDE/>
        <w:autoSpaceDN/>
        <w:spacing w:after="27" w:line="269" w:lineRule="auto"/>
        <w:ind w:hanging="360"/>
      </w:pPr>
      <w:r>
        <w:t xml:space="preserve">If required, tailor the selected assessment procedures. For example, select appropriate assessment methods and objects, assign depth, and cover attribute values. </w:t>
      </w:r>
    </w:p>
    <w:p w:rsidR="00B60B22" w:rsidP="00B60B22" w:rsidRDefault="00B60B22" w14:paraId="518FC8EF" w14:textId="77777777">
      <w:pPr>
        <w:widowControl/>
        <w:numPr>
          <w:ilvl w:val="0"/>
          <w:numId w:val="46"/>
        </w:numPr>
        <w:autoSpaceDE/>
        <w:autoSpaceDN/>
        <w:spacing w:after="33" w:line="269" w:lineRule="auto"/>
        <w:ind w:hanging="360"/>
      </w:pPr>
      <w:r>
        <w:t xml:space="preserve">Optimize the assessment procedures to reduce duplication of effort. For example, sequence, consolidate assessment procedures, and reuse Developmental Test and Evaluation (DT&amp;E) and Operational Test and Evaluation (OT&amp;E) test results. </w:t>
      </w:r>
    </w:p>
    <w:p w:rsidR="00B60B22" w:rsidP="00B60B22" w:rsidRDefault="00B60B22" w14:paraId="141C4E05" w14:textId="77777777">
      <w:pPr>
        <w:widowControl/>
        <w:numPr>
          <w:ilvl w:val="0"/>
          <w:numId w:val="46"/>
        </w:numPr>
        <w:autoSpaceDE/>
        <w:autoSpaceDN/>
        <w:spacing w:after="5" w:line="269" w:lineRule="auto"/>
        <w:ind w:hanging="360"/>
      </w:pPr>
      <w:r>
        <w:t xml:space="preserve">Provide cost-effective assessment solutions. </w:t>
      </w:r>
    </w:p>
    <w:p w:rsidR="00B60B22" w:rsidP="00B60B22" w:rsidRDefault="00B60B22" w14:paraId="1CE9DD73" w14:textId="77777777">
      <w:pPr>
        <w:widowControl/>
        <w:numPr>
          <w:ilvl w:val="0"/>
          <w:numId w:val="46"/>
        </w:numPr>
        <w:autoSpaceDE/>
        <w:autoSpaceDN/>
        <w:spacing w:after="5" w:line="269" w:lineRule="auto"/>
        <w:ind w:hanging="360"/>
      </w:pPr>
      <w:r>
        <w:t xml:space="preserve">Finalize the assessment plan and obtain the necessary approvals to execute the plan. </w:t>
      </w:r>
    </w:p>
    <w:p w:rsidR="00B60B22" w:rsidP="00B60B22" w:rsidRDefault="00B60B22" w14:paraId="52E15121" w14:textId="77777777">
      <w:pPr>
        <w:spacing w:after="15" w:line="259" w:lineRule="auto"/>
        <w:ind w:left="5"/>
      </w:pPr>
      <w:r>
        <w:t xml:space="preserve"> </w:t>
      </w:r>
    </w:p>
    <w:p w:rsidR="00B60B22" w:rsidP="00B60B22" w:rsidRDefault="00B60B22" w14:paraId="28F23C5A" w14:textId="77777777">
      <w:r>
        <w:t xml:space="preserve">The CRA ensures the plan is consistent with the security objectives of the organization; employs state-of-the-practice tools, techniques, procedures, and automation to support the concept of information security monitoring and near real-time risk management; and is cost-effective about the resources allocated for the assessment.  The AO or their representative documents the security assessment plan, establishes appropriate expectations for the security assessment, defines the level of effort for the assessment, and ensures the appropriate level of resources are applied in determining the effectiveness of the security requirements. </w:t>
      </w:r>
    </w:p>
    <w:p w:rsidR="00B60B22" w:rsidP="00B60B22" w:rsidRDefault="00CB1A3F" w14:paraId="19112031" w14:textId="4C481B78">
      <w:pPr>
        <w:pStyle w:val="Heading2"/>
        <w:ind w:left="351" w:hanging="361"/>
      </w:pPr>
      <w:bookmarkStart w:name="_Toc100583232" w:id="19"/>
      <w:r>
        <w:t xml:space="preserve">       </w:t>
      </w:r>
      <w:r w:rsidR="00B60B22">
        <w:t>Assessment Results</w:t>
      </w:r>
      <w:bookmarkEnd w:id="19"/>
      <w:r w:rsidR="00B60B22">
        <w:t xml:space="preserve"> </w:t>
      </w:r>
    </w:p>
    <w:p w:rsidR="00B60B22" w:rsidP="00B60B22" w:rsidRDefault="00B60B22" w14:paraId="410CB145" w14:textId="77777777">
      <w:r>
        <w:t xml:space="preserve">The Security Requirements Guide (SRG) and Security Technical Information Guide’s (STIG) compliance results will be documented and used as part of the overall supporting evidence. The </w:t>
      </w:r>
      <w:r>
        <w:lastRenderedPageBreak/>
        <w:t xml:space="preserve">RMF Knowledge Service is </w:t>
      </w:r>
      <w:proofErr w:type="gramStart"/>
      <w:r>
        <w:t>the</w:t>
      </w:r>
      <w:proofErr w:type="gramEnd"/>
      <w:r>
        <w:t xml:space="preserve"> authoritative source for assessment procedures. Findings are recorded in the Security Assessment Report (SAR) and the Plan of Action and Milestones (POA&amp;M) updated along with any artifacts produced during the assessment (for example,</w:t>
      </w:r>
      <w:r>
        <w:rPr>
          <w:color w:val="FF0000"/>
        </w:rPr>
        <w:t xml:space="preserve"> </w:t>
      </w:r>
      <w:r>
        <w:t xml:space="preserve">output from automated test tools or screen shots depicting aspects of system configuration). </w:t>
      </w:r>
      <w:proofErr w:type="gramStart"/>
      <w:r>
        <w:t>Final</w:t>
      </w:r>
      <w:proofErr w:type="gramEnd"/>
      <w:r>
        <w:t xml:space="preserve"> risk should be annotated within the Risk Analysis Report.  To make the risk management process as timely and cost-effective as possible, the reuse of previous assessment results, when reasonable and appropriate, is strongly recommended. Assessment results are reused to support reciprocity wherever possible.  For inherited security requirements, assessment test results and supporting documentation are maintained by the providing system and are made available to CRAs of receiving systems when requested. For common requirements inherited from the enterprise, instructions for documenting compliance are provided on the RMF Knowledge Service. CRAs will maximize the reuse of existing assessment and T&amp;E documentation in their assessment of the system. </w:t>
      </w:r>
    </w:p>
    <w:p w:rsidR="00B60B22" w:rsidP="00B60B22" w:rsidRDefault="00B60B22" w14:paraId="1EF98A1F" w14:textId="77777777"/>
    <w:p w:rsidR="00B60B22" w:rsidP="00B60B22" w:rsidRDefault="009567CA" w14:paraId="663489DF" w14:textId="4DFFD70C">
      <w:pPr>
        <w:pStyle w:val="Heading1"/>
        <w:numPr>
          <w:ilvl w:val="0"/>
          <w:numId w:val="52"/>
        </w:numPr>
      </w:pPr>
      <w:r>
        <w:t>Risk Analysis Report</w:t>
      </w:r>
    </w:p>
    <w:p w:rsidR="00B60B22" w:rsidP="00B60B22" w:rsidRDefault="00B60B22" w14:paraId="089A1C36" w14:textId="77777777">
      <w:r>
        <w:t xml:space="preserve">Risk Assessment Reports (RAR) contain information organizations can use to communicate the results of risk assessments. Risk assessment reports provide decision makers with an understanding of the information security risk to organizational operations and assets, individuals, other organizations, or the Nation deriving from the operation and use of organizational information systems and the environments in which those systems operate. </w:t>
      </w:r>
    </w:p>
    <w:p w:rsidR="00B60B22" w:rsidP="00B60B22" w:rsidRDefault="00B60B22" w14:paraId="1B39022F" w14:textId="77777777">
      <w:pPr>
        <w:spacing w:after="20" w:line="259" w:lineRule="auto"/>
        <w:ind w:left="5"/>
      </w:pPr>
      <w:r>
        <w:t xml:space="preserve"> </w:t>
      </w:r>
    </w:p>
    <w:p w:rsidR="00B60B22" w:rsidP="00B60B22" w:rsidRDefault="00B60B22" w14:paraId="7515923F" w14:textId="77777777">
      <w:r>
        <w:t xml:space="preserve">The RAR is focused on “risk of use” of non-mitigated requirements and addresses vulnerabilities and weaknesses presented in the SAR after the assessment has been completed by the CRA. The individual risk levels are then used to inform the CRA’s recommendation to the AO on acceptance of the cybersecurity risk of operating the system.  The essential elements of information in a risk assessment can be described in three sections of the risk assessment report: (i) an executive summary, (ii) the main body containing detailed risk assessment results, and (iii) supporting appendices.  Each step is divided into a set of tasks. For each task, supplemental guidance provides additional information for conducting risk assessments. Figure 1 illustrates the basic steps in the risk assessment process and highlights the specific tasks for conducting the assessment. </w:t>
      </w:r>
    </w:p>
    <w:p w:rsidR="00B60B22" w:rsidP="00B60B22" w:rsidRDefault="00B60B22" w14:paraId="57987E89" w14:textId="77777777">
      <w:pPr>
        <w:spacing w:after="15" w:line="259" w:lineRule="auto"/>
        <w:ind w:left="5"/>
      </w:pPr>
      <w:r>
        <w:t xml:space="preserve"> </w:t>
      </w:r>
    </w:p>
    <w:p w:rsidR="00B60B22" w:rsidP="00B60B22" w:rsidRDefault="00B60B22" w14:paraId="103B2D28" w14:textId="77777777">
      <w:pPr>
        <w:spacing w:after="0" w:line="259" w:lineRule="auto"/>
        <w:ind w:left="5"/>
      </w:pPr>
      <w:r>
        <w:t xml:space="preserve"> </w:t>
      </w:r>
    </w:p>
    <w:p w:rsidR="00B60B22" w:rsidP="00B60B22" w:rsidRDefault="00B60B22" w14:paraId="494013C6" w14:textId="77777777">
      <w:pPr>
        <w:spacing w:after="293" w:line="242" w:lineRule="auto"/>
        <w:ind w:left="3442" w:right="877" w:hanging="2016"/>
      </w:pPr>
      <w:r>
        <w:rPr>
          <w:noProof/>
        </w:rPr>
        <w:lastRenderedPageBreak/>
        <w:drawing>
          <wp:inline distT="0" distB="0" distL="0" distR="0" wp14:anchorId="52DAD48B" wp14:editId="3018B63C">
            <wp:extent cx="4157980" cy="2893441"/>
            <wp:effectExtent l="0" t="0" r="0" b="0"/>
            <wp:docPr id="1304" name="Picture 1304" descr="A picture containing text, screenshot,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304" name="Picture 1304" descr="A picture containing text, screenshot, design&#10;&#10;Description automatically generated"/>
                    <pic:cNvPicPr/>
                  </pic:nvPicPr>
                  <pic:blipFill>
                    <a:blip r:embed="rId17"/>
                    <a:stretch>
                      <a:fillRect/>
                    </a:stretch>
                  </pic:blipFill>
                  <pic:spPr>
                    <a:xfrm>
                      <a:off x="0" y="0"/>
                      <a:ext cx="4157980" cy="2893441"/>
                    </a:xfrm>
                    <a:prstGeom prst="rect">
                      <a:avLst/>
                    </a:prstGeom>
                  </pic:spPr>
                </pic:pic>
              </a:graphicData>
            </a:graphic>
          </wp:inline>
        </w:drawing>
      </w:r>
      <w:r>
        <w:t xml:space="preserve"> </w:t>
      </w:r>
      <w:r w:rsidRPr="009567CA">
        <w:rPr>
          <w:i/>
          <w:color w:val="1D385B"/>
          <w:sz w:val="18"/>
        </w:rPr>
        <w:t>Figure 1: Risk Assessment Process</w:t>
      </w:r>
      <w:r>
        <w:rPr>
          <w:i/>
          <w:color w:val="1F497D"/>
          <w:sz w:val="18"/>
        </w:rPr>
        <w:t xml:space="preserve"> </w:t>
      </w:r>
    </w:p>
    <w:p w:rsidRPr="00CB1A3F" w:rsidR="00CB1A3F" w:rsidP="00CB1A3F" w:rsidRDefault="00CB1A3F" w14:paraId="4A26D609" w14:textId="77777777">
      <w:pPr>
        <w:pStyle w:val="ListParagraph"/>
        <w:keepNext/>
        <w:keepLines/>
        <w:widowControl/>
        <w:numPr>
          <w:ilvl w:val="0"/>
          <w:numId w:val="1"/>
        </w:numPr>
        <w:autoSpaceDE/>
        <w:autoSpaceDN/>
        <w:spacing w:before="480" w:line="276" w:lineRule="auto"/>
        <w:ind w:right="720"/>
        <w:jc w:val="both"/>
        <w:outlineLvl w:val="1"/>
        <w:rPr>
          <w:rFonts w:eastAsia="Lato"/>
          <w:b/>
          <w:bCs/>
          <w:vanish/>
          <w:color w:val="365F91" w:themeColor="accent1" w:themeShade="BF"/>
        </w:rPr>
      </w:pPr>
      <w:bookmarkStart w:name="_Toc100583234" w:id="20"/>
    </w:p>
    <w:p w:rsidR="00B60B22" w:rsidP="00CB1A3F" w:rsidRDefault="00B60B22" w14:paraId="3A436E45" w14:textId="3C02954F">
      <w:pPr>
        <w:pStyle w:val="Heading2"/>
        <w:ind w:left="710"/>
      </w:pPr>
      <w:r>
        <w:t>Risk Tolerance Level</w:t>
      </w:r>
      <w:bookmarkEnd w:id="20"/>
      <w:r>
        <w:t xml:space="preserve"> </w:t>
      </w:r>
    </w:p>
    <w:p w:rsidR="00B60B22" w:rsidP="00B60B22" w:rsidRDefault="00B60B22" w14:paraId="47EA10A7" w14:textId="77777777">
      <w:pPr>
        <w:spacing w:after="29"/>
      </w:pPr>
      <w:r>
        <w:t>When assessing risk level:</w:t>
      </w:r>
      <w:r>
        <w:rPr>
          <w:color w:val="FF0000"/>
        </w:rPr>
        <w:t xml:space="preserve"> </w:t>
      </w:r>
    </w:p>
    <w:p w:rsidR="00B60B22" w:rsidP="00B60B22" w:rsidRDefault="00B60B22" w14:paraId="798DAA5C" w14:textId="77777777">
      <w:pPr>
        <w:widowControl/>
        <w:numPr>
          <w:ilvl w:val="0"/>
          <w:numId w:val="47"/>
        </w:numPr>
        <w:autoSpaceDE/>
        <w:autoSpaceDN/>
        <w:spacing w:after="27" w:line="269" w:lineRule="auto"/>
        <w:ind w:hanging="360"/>
      </w:pPr>
      <w:r>
        <w:t xml:space="preserve">Defer to the AO Determination Brief Cyber Hygiene Slides (Cloud, DevSecOps. Weapons, Special Access Program etc.,). </w:t>
      </w:r>
    </w:p>
    <w:p w:rsidR="00B60B22" w:rsidP="00B60B22" w:rsidRDefault="00B60B22" w14:paraId="4ACD8781" w14:textId="77777777">
      <w:pPr>
        <w:widowControl/>
        <w:numPr>
          <w:ilvl w:val="0"/>
          <w:numId w:val="47"/>
        </w:numPr>
        <w:autoSpaceDE/>
        <w:autoSpaceDN/>
        <w:spacing w:after="32" w:line="269" w:lineRule="auto"/>
        <w:ind w:hanging="360"/>
      </w:pPr>
      <w:r>
        <w:t xml:space="preserve">If no vulnerabilities or weaknesses are found through the process of executing the assessment procedures, the requirement is recorded as satisfactory. </w:t>
      </w:r>
    </w:p>
    <w:p w:rsidR="00B60B22" w:rsidP="00B60B22" w:rsidRDefault="00B60B22" w14:paraId="49D431E9" w14:textId="77777777">
      <w:pPr>
        <w:widowControl/>
        <w:numPr>
          <w:ilvl w:val="0"/>
          <w:numId w:val="47"/>
        </w:numPr>
        <w:autoSpaceDE/>
        <w:autoSpaceDN/>
        <w:spacing w:after="27" w:line="269" w:lineRule="auto"/>
        <w:ind w:hanging="360"/>
      </w:pPr>
      <w:r>
        <w:t xml:space="preserve">If vulnerabilities or weaknesses are found, the requirement is recorded with sufficient explanation as High, Moderate, or Low in the SAR and a final risk of use in the Risk Analysis Report.  </w:t>
      </w:r>
    </w:p>
    <w:p w:rsidR="00B60B22" w:rsidP="00B60B22" w:rsidRDefault="00B60B22" w14:paraId="6C8B8D83" w14:textId="77777777">
      <w:pPr>
        <w:widowControl/>
        <w:numPr>
          <w:ilvl w:val="0"/>
          <w:numId w:val="47"/>
        </w:numPr>
        <w:autoSpaceDE/>
        <w:autoSpaceDN/>
        <w:spacing w:after="32" w:line="269" w:lineRule="auto"/>
        <w:ind w:hanging="360"/>
      </w:pPr>
      <w:r>
        <w:t xml:space="preserve">If a requirement is found to be not technically or procedurally relevant to the system, an NA for Not Applicable is recorded with sufficient justification in the SAR, however this determination should have been documented when the requirements were initially selected, but circumstances can and do sometimes </w:t>
      </w:r>
      <w:proofErr w:type="gramStart"/>
      <w:r>
        <w:t>change</w:t>
      </w:r>
      <w:proofErr w:type="gramEnd"/>
      <w:r>
        <w:t xml:space="preserve">  </w:t>
      </w:r>
    </w:p>
    <w:p w:rsidR="00B60B22" w:rsidP="00B60B22" w:rsidRDefault="00B60B22" w14:paraId="40C0BA93" w14:textId="77777777">
      <w:pPr>
        <w:widowControl/>
        <w:numPr>
          <w:ilvl w:val="0"/>
          <w:numId w:val="47"/>
        </w:numPr>
        <w:autoSpaceDE/>
        <w:autoSpaceDN/>
        <w:spacing w:after="5" w:line="269" w:lineRule="auto"/>
        <w:ind w:hanging="360"/>
      </w:pPr>
      <w:r>
        <w:t xml:space="preserve">The CRA Risk Recommendation should provide supporting evidence </w:t>
      </w:r>
      <w:proofErr w:type="gramStart"/>
      <w:r>
        <w:t>to</w:t>
      </w:r>
      <w:proofErr w:type="gramEnd"/>
      <w:r>
        <w:t xml:space="preserve"> the findings and a proposed path forward behind each risk determination. </w:t>
      </w:r>
    </w:p>
    <w:p w:rsidR="00B60B22" w:rsidP="00B60B22" w:rsidRDefault="00B60B22" w14:paraId="3CC2671A" w14:textId="77777777">
      <w:pPr>
        <w:spacing w:after="15" w:line="259" w:lineRule="auto"/>
        <w:ind w:left="5"/>
      </w:pPr>
      <w:r>
        <w:t xml:space="preserve"> </w:t>
      </w:r>
    </w:p>
    <w:p w:rsidR="00B60B22" w:rsidP="00B60B22" w:rsidRDefault="00B60B22" w14:paraId="08FA3826" w14:textId="77777777">
      <w:pPr>
        <w:spacing w:after="251"/>
      </w:pPr>
      <w:r>
        <w:t xml:space="preserve">Not achieving expected results for all assessment procedures does not equate to unacceptable risk. However, all requirements must be assessed for risk and documented in a POA&amp;M with an explanation as to how and when they will be fixed and/or mitigated. Please note that any assessment procedures used that are not in accordance with the procedures outlined by the AO will be documented fully in the SAR. </w:t>
      </w:r>
    </w:p>
    <w:p w:rsidR="00B60B22" w:rsidP="00B60B22" w:rsidRDefault="00CB1A3F" w14:paraId="0248CC45" w14:textId="4CE9A464">
      <w:pPr>
        <w:pStyle w:val="Heading2"/>
        <w:ind w:left="351" w:hanging="361"/>
      </w:pPr>
      <w:bookmarkStart w:name="_Toc100583235" w:id="21"/>
      <w:r>
        <w:lastRenderedPageBreak/>
        <w:t xml:space="preserve">         </w:t>
      </w:r>
      <w:r w:rsidR="00B60B22">
        <w:t>Determine Risk Level</w:t>
      </w:r>
      <w:bookmarkEnd w:id="21"/>
      <w:r w:rsidR="00B60B22">
        <w:t xml:space="preserve"> </w:t>
      </w:r>
    </w:p>
    <w:p w:rsidR="00B60B22" w:rsidP="00B60B22" w:rsidRDefault="00B60B22" w14:paraId="3DD12AF7" w14:textId="77777777">
      <w:pPr>
        <w:spacing w:after="0"/>
      </w:pPr>
      <w:r>
        <w:t xml:space="preserve">The CRA determines and documents in the SAR a risk level of High, Moderate, or Low for each credible risk relative to the system baseline. High risk findings are to be subjected to a risk assessment process that considers multiple factors in producing the risk level and must be coordinated with the AO. As described in the NIST Special Publication 800-30, “Guide for </w:t>
      </w:r>
    </w:p>
    <w:p w:rsidR="00B60B22" w:rsidP="00B60B22" w:rsidRDefault="00B60B22" w14:paraId="1C6A0C8B" w14:textId="77777777">
      <w:pPr>
        <w:spacing w:after="0"/>
      </w:pPr>
      <w:r>
        <w:t xml:space="preserve">Conducting Risk Assessments,” these factors include but are not limited to: </w:t>
      </w:r>
    </w:p>
    <w:p w:rsidR="00B60B22" w:rsidP="00B60B22" w:rsidRDefault="00B60B22" w14:paraId="2B6FED90" w14:textId="77777777">
      <w:pPr>
        <w:widowControl/>
        <w:numPr>
          <w:ilvl w:val="0"/>
          <w:numId w:val="48"/>
        </w:numPr>
        <w:autoSpaceDE/>
        <w:autoSpaceDN/>
        <w:spacing w:after="55" w:line="269" w:lineRule="auto"/>
        <w:ind w:hanging="360"/>
      </w:pPr>
      <w:r>
        <w:t xml:space="preserve">The CRA’s determination that a credible or validated threat source and potential event exists that is capable of and likely to exploit vulnerabilities and weaknesses in the implementation of the requirement.  </w:t>
      </w:r>
    </w:p>
    <w:p w:rsidR="00B60B22" w:rsidP="00B60B22" w:rsidRDefault="00B60B22" w14:paraId="7FF98892" w14:textId="77777777">
      <w:pPr>
        <w:widowControl/>
        <w:numPr>
          <w:ilvl w:val="0"/>
          <w:numId w:val="48"/>
        </w:numPr>
        <w:autoSpaceDE/>
        <w:autoSpaceDN/>
        <w:spacing w:after="26" w:line="269" w:lineRule="auto"/>
        <w:ind w:hanging="360"/>
      </w:pPr>
      <w:r>
        <w:t xml:space="preserve">Vulnerability severity level and pre-disposing conditions. This includes the CRA’s estimate of the adequacy of existing mitigations or compensating to address the vulnerability and mitigations provided by the hosting enclave, Computer Network Defense Service Provider (CNDSP), or other protective measures.  </w:t>
      </w:r>
    </w:p>
    <w:p w:rsidR="00B60B22" w:rsidP="00B60B22" w:rsidRDefault="00B60B22" w14:paraId="22F95262" w14:textId="77777777">
      <w:pPr>
        <w:widowControl/>
        <w:numPr>
          <w:ilvl w:val="0"/>
          <w:numId w:val="48"/>
        </w:numPr>
        <w:autoSpaceDE/>
        <w:autoSpaceDN/>
        <w:spacing w:after="77" w:line="269" w:lineRule="auto"/>
        <w:ind w:hanging="360"/>
      </w:pPr>
      <w:r>
        <w:t xml:space="preserve">The cybersecurity attribute (that is confidentiality, integrity, or availability) and associated categorization impact level (high, moderate, and low).  </w:t>
      </w:r>
    </w:p>
    <w:p w:rsidR="00B60B22" w:rsidP="00B60B22" w:rsidRDefault="00B60B22" w14:paraId="51DA517E" w14:textId="77777777">
      <w:pPr>
        <w:widowControl/>
        <w:numPr>
          <w:ilvl w:val="0"/>
          <w:numId w:val="48"/>
        </w:numPr>
        <w:autoSpaceDE/>
        <w:autoSpaceDN/>
        <w:spacing w:after="5" w:line="269" w:lineRule="auto"/>
        <w:ind w:hanging="360"/>
      </w:pPr>
      <w:r>
        <w:t xml:space="preserve">The CRA’s estimate of impact of a successful threat event.  </w:t>
      </w:r>
    </w:p>
    <w:p w:rsidR="00B60B22" w:rsidP="00B60B22" w:rsidRDefault="00B60B22" w14:paraId="3F752B16" w14:textId="77777777">
      <w:pPr>
        <w:spacing w:after="0" w:line="259" w:lineRule="auto"/>
        <w:ind w:left="5"/>
      </w:pPr>
      <w:r>
        <w:t xml:space="preserve"> </w:t>
      </w:r>
    </w:p>
    <w:tbl>
      <w:tblPr>
        <w:tblStyle w:val="TableGrid1"/>
        <w:tblW w:w="9414" w:type="dxa"/>
        <w:tblInd w:w="120" w:type="dxa"/>
        <w:tblCellMar>
          <w:top w:w="16" w:type="dxa"/>
          <w:left w:w="220" w:type="dxa"/>
          <w:right w:w="115" w:type="dxa"/>
        </w:tblCellMar>
        <w:tblLook w:val="04A0" w:firstRow="1" w:lastRow="0" w:firstColumn="1" w:lastColumn="0" w:noHBand="0" w:noVBand="1"/>
      </w:tblPr>
      <w:tblGrid>
        <w:gridCol w:w="1611"/>
        <w:gridCol w:w="7803"/>
      </w:tblGrid>
      <w:tr w:rsidR="00B60B22" w:rsidTr="003C6129" w14:paraId="5D6F055B" w14:textId="77777777">
        <w:trPr>
          <w:trHeight w:val="960"/>
        </w:trPr>
        <w:tc>
          <w:tcPr>
            <w:tcW w:w="1611" w:type="dxa"/>
            <w:tcBorders>
              <w:top w:val="single" w:color="000000" w:sz="4" w:space="0"/>
              <w:left w:val="single" w:color="000000" w:sz="4" w:space="0"/>
              <w:bottom w:val="single" w:color="000000" w:sz="4" w:space="0"/>
              <w:right w:val="single" w:color="000000" w:sz="4" w:space="0"/>
            </w:tcBorders>
            <w:vAlign w:val="center"/>
          </w:tcPr>
          <w:p w:rsidR="00B60B22" w:rsidP="003C6129" w:rsidRDefault="00B60B22" w14:paraId="0D02BC71" w14:textId="77777777">
            <w:pPr>
              <w:spacing w:after="0" w:line="259" w:lineRule="auto"/>
              <w:ind w:right="102"/>
              <w:jc w:val="center"/>
            </w:pPr>
            <w:r>
              <w:rPr>
                <w:b/>
              </w:rPr>
              <w:t xml:space="preserve">Low </w:t>
            </w:r>
          </w:p>
        </w:tc>
        <w:tc>
          <w:tcPr>
            <w:tcW w:w="7803" w:type="dxa"/>
            <w:tcBorders>
              <w:top w:val="single" w:color="000000" w:sz="4" w:space="0"/>
              <w:left w:val="single" w:color="000000" w:sz="4" w:space="0"/>
              <w:bottom w:val="single" w:color="000000" w:sz="4" w:space="0"/>
              <w:right w:val="single" w:color="000000" w:sz="4" w:space="0"/>
            </w:tcBorders>
          </w:tcPr>
          <w:p w:rsidR="00B60B22" w:rsidP="003C6129" w:rsidRDefault="00B60B22" w14:paraId="3D03FF89" w14:textId="77777777">
            <w:pPr>
              <w:spacing w:after="0" w:line="259" w:lineRule="auto"/>
            </w:pPr>
            <w:r>
              <w:t xml:space="preserve">The potential impact is </w:t>
            </w:r>
            <w:r>
              <w:rPr>
                <w:b/>
              </w:rPr>
              <w:t xml:space="preserve">low </w:t>
            </w:r>
            <w:r>
              <w:t xml:space="preserve">if: the loss of confidentiality, integrity, or availability could be expected to have a </w:t>
            </w:r>
            <w:r>
              <w:rPr>
                <w:b/>
              </w:rPr>
              <w:t xml:space="preserve">limited </w:t>
            </w:r>
            <w:r>
              <w:t xml:space="preserve">adverse effect on organizational operations, organizational assets, or individuals. </w:t>
            </w:r>
          </w:p>
        </w:tc>
      </w:tr>
      <w:tr w:rsidR="00B60B22" w:rsidTr="003C6129" w14:paraId="228154AD" w14:textId="77777777">
        <w:trPr>
          <w:trHeight w:val="965"/>
        </w:trPr>
        <w:tc>
          <w:tcPr>
            <w:tcW w:w="1611" w:type="dxa"/>
            <w:tcBorders>
              <w:top w:val="single" w:color="000000" w:sz="4" w:space="0"/>
              <w:left w:val="single" w:color="000000" w:sz="4" w:space="0"/>
              <w:bottom w:val="single" w:color="000000" w:sz="4" w:space="0"/>
              <w:right w:val="single" w:color="000000" w:sz="4" w:space="0"/>
            </w:tcBorders>
            <w:vAlign w:val="center"/>
          </w:tcPr>
          <w:p w:rsidR="00B60B22" w:rsidP="003C6129" w:rsidRDefault="00B60B22" w14:paraId="072D650E" w14:textId="77777777">
            <w:pPr>
              <w:spacing w:after="0" w:line="259" w:lineRule="auto"/>
              <w:ind w:right="109"/>
              <w:jc w:val="center"/>
            </w:pPr>
            <w:r>
              <w:rPr>
                <w:b/>
              </w:rPr>
              <w:t xml:space="preserve">Moderate </w:t>
            </w:r>
          </w:p>
        </w:tc>
        <w:tc>
          <w:tcPr>
            <w:tcW w:w="7803" w:type="dxa"/>
            <w:tcBorders>
              <w:top w:val="single" w:color="000000" w:sz="4" w:space="0"/>
              <w:left w:val="single" w:color="000000" w:sz="4" w:space="0"/>
              <w:bottom w:val="single" w:color="000000" w:sz="4" w:space="0"/>
              <w:right w:val="single" w:color="000000" w:sz="4" w:space="0"/>
            </w:tcBorders>
          </w:tcPr>
          <w:p w:rsidR="00B60B22" w:rsidP="003C6129" w:rsidRDefault="00B60B22" w14:paraId="738A7A43" w14:textId="77777777">
            <w:pPr>
              <w:spacing w:after="0" w:line="259" w:lineRule="auto"/>
            </w:pPr>
            <w:r>
              <w:t xml:space="preserve">The potential impact is </w:t>
            </w:r>
            <w:r>
              <w:rPr>
                <w:b/>
              </w:rPr>
              <w:t xml:space="preserve">moderate </w:t>
            </w:r>
            <w:r>
              <w:t xml:space="preserve">if: the loss of confidentiality, integrity, or availability could be expected to have a </w:t>
            </w:r>
            <w:r>
              <w:rPr>
                <w:b/>
              </w:rPr>
              <w:t xml:space="preserve">serious </w:t>
            </w:r>
            <w:r>
              <w:t xml:space="preserve">adverse effect on organizational operations, organizational assets, or individuals. </w:t>
            </w:r>
          </w:p>
        </w:tc>
      </w:tr>
      <w:tr w:rsidR="00B60B22" w:rsidTr="003C6129" w14:paraId="5FD190CE" w14:textId="77777777">
        <w:trPr>
          <w:trHeight w:val="1281"/>
        </w:trPr>
        <w:tc>
          <w:tcPr>
            <w:tcW w:w="1611" w:type="dxa"/>
            <w:tcBorders>
              <w:top w:val="single" w:color="000000" w:sz="4" w:space="0"/>
              <w:left w:val="single" w:color="000000" w:sz="4" w:space="0"/>
              <w:bottom w:val="single" w:color="000000" w:sz="4" w:space="0"/>
              <w:right w:val="single" w:color="000000" w:sz="4" w:space="0"/>
            </w:tcBorders>
            <w:vAlign w:val="center"/>
          </w:tcPr>
          <w:p w:rsidR="00B60B22" w:rsidP="003C6129" w:rsidRDefault="00B60B22" w14:paraId="569A3FE5" w14:textId="77777777">
            <w:pPr>
              <w:spacing w:after="0" w:line="259" w:lineRule="auto"/>
              <w:ind w:right="101"/>
              <w:jc w:val="center"/>
            </w:pPr>
            <w:r>
              <w:rPr>
                <w:b/>
              </w:rPr>
              <w:t xml:space="preserve">High </w:t>
            </w:r>
          </w:p>
        </w:tc>
        <w:tc>
          <w:tcPr>
            <w:tcW w:w="7803" w:type="dxa"/>
            <w:tcBorders>
              <w:top w:val="single" w:color="000000" w:sz="4" w:space="0"/>
              <w:left w:val="single" w:color="000000" w:sz="4" w:space="0"/>
              <w:bottom w:val="single" w:color="000000" w:sz="4" w:space="0"/>
              <w:right w:val="single" w:color="000000" w:sz="4" w:space="0"/>
            </w:tcBorders>
          </w:tcPr>
          <w:p w:rsidR="00B60B22" w:rsidP="003C6129" w:rsidRDefault="00B60B22" w14:paraId="7692263B" w14:textId="77777777">
            <w:pPr>
              <w:spacing w:after="0" w:line="259" w:lineRule="auto"/>
              <w:ind w:right="567"/>
            </w:pPr>
            <w:r>
              <w:t xml:space="preserve">The potential impact is </w:t>
            </w:r>
            <w:r>
              <w:rPr>
                <w:b/>
              </w:rPr>
              <w:t xml:space="preserve">high </w:t>
            </w:r>
            <w:r>
              <w:t xml:space="preserve">if: the loss of confidentiality, integrity, or availability could be expected to have a </w:t>
            </w:r>
            <w:r>
              <w:rPr>
                <w:b/>
              </w:rPr>
              <w:t xml:space="preserve">severe or catastrophic </w:t>
            </w:r>
            <w:r>
              <w:t xml:space="preserve">adverse effect on organizational operations, organizational assets, or individuals. </w:t>
            </w:r>
          </w:p>
        </w:tc>
      </w:tr>
    </w:tbl>
    <w:p w:rsidR="00B60B22" w:rsidP="00B60B22" w:rsidRDefault="00B60B22" w14:paraId="05AD13EB" w14:textId="77777777">
      <w:pPr>
        <w:spacing w:after="15" w:line="259" w:lineRule="auto"/>
        <w:ind w:left="5"/>
      </w:pPr>
      <w:r>
        <w:t xml:space="preserve"> </w:t>
      </w:r>
    </w:p>
    <w:p w:rsidR="00B60B22" w:rsidP="00B60B22" w:rsidRDefault="00B60B22" w14:paraId="5BE1D31F" w14:textId="77777777">
      <w:pPr>
        <w:spacing w:after="246"/>
        <w:ind w:hanging="14"/>
      </w:pPr>
      <w:r>
        <w:t xml:space="preserve">The CRA must also determine and document in the SAR an assessment of overall system level of risk. The risk assessment must address all non-mitigated requirements and clearly communicate the CRA’s conclusion on system cybersecurity risk along with any recommendations for special instructions to accompany the authorization determination. </w:t>
      </w:r>
    </w:p>
    <w:p w:rsidR="00B60B22" w:rsidP="00B60B22" w:rsidRDefault="00CB1A3F" w14:paraId="016D214F" w14:textId="188FF0CF">
      <w:pPr>
        <w:pStyle w:val="Heading2"/>
        <w:ind w:left="351" w:hanging="361"/>
      </w:pPr>
      <w:bookmarkStart w:name="_Toc100583236" w:id="22"/>
      <w:r>
        <w:t xml:space="preserve">            </w:t>
      </w:r>
      <w:r w:rsidR="00B60B22">
        <w:t>Recording Results</w:t>
      </w:r>
      <w:bookmarkEnd w:id="22"/>
      <w:r w:rsidR="00B60B22">
        <w:t xml:space="preserve"> </w:t>
      </w:r>
    </w:p>
    <w:p w:rsidR="00B60B22" w:rsidP="00B60B22" w:rsidRDefault="00B60B22" w14:paraId="52A38D65" w14:textId="77777777">
      <w:pPr>
        <w:spacing w:after="0"/>
        <w:ind w:hanging="14"/>
      </w:pPr>
      <w:r>
        <w:t>Reasoning for risk and comments can be added to the SAR along with the supporting evidence. The SAR and the RAR</w:t>
      </w:r>
      <w:r w:rsidRPr="00DB41AA">
        <w:t xml:space="preserve"> contain </w:t>
      </w:r>
      <w:proofErr w:type="gramStart"/>
      <w:r w:rsidRPr="00DB41AA">
        <w:t>information</w:t>
      </w:r>
      <w:proofErr w:type="gramEnd"/>
      <w:r w:rsidRPr="00DB41AA">
        <w:t xml:space="preserve"> </w:t>
      </w:r>
      <w:r>
        <w:t>the CRA, and the program</w:t>
      </w:r>
      <w:r w:rsidRPr="00DB41AA">
        <w:t xml:space="preserve"> can use to communicate the results of risk assessment</w:t>
      </w:r>
      <w:r>
        <w:t xml:space="preserve"> to the AO</w:t>
      </w:r>
      <w:r w:rsidRPr="00DB41AA">
        <w:t xml:space="preserve">. </w:t>
      </w:r>
      <w:r>
        <w:t>Detailed</w:t>
      </w:r>
      <w:r w:rsidRPr="00DB41AA">
        <w:t xml:space="preserve"> reports provide decision makers with an understanding of the information security risk to </w:t>
      </w:r>
      <w:r>
        <w:t xml:space="preserve">organizations, </w:t>
      </w:r>
      <w:r w:rsidRPr="00DB41AA">
        <w:t xml:space="preserve">operations and assets, individuals, other organizations, or the Nation that derive from the operation and use of </w:t>
      </w:r>
      <w:r w:rsidRPr="00DB41AA">
        <w:lastRenderedPageBreak/>
        <w:t xml:space="preserve">organizational </w:t>
      </w:r>
      <w:r>
        <w:t>IS</w:t>
      </w:r>
      <w:r w:rsidRPr="00DB41AA">
        <w:t xml:space="preserve"> and the environments in which those systems operate. The essential elements of information in a risk assessment can be described in three sections of the risk report: (i) an executive summary; (ii) the main body containing detailed risk results; and (iii) supporting appendices.</w:t>
      </w:r>
      <w:r w:rsidRPr="00DB41AA" w:rsidDel="004E17F5">
        <w:t xml:space="preserve"> </w:t>
      </w:r>
      <w:r>
        <w:t xml:space="preserve">Programs must identify </w:t>
      </w:r>
      <w:proofErr w:type="gramStart"/>
      <w:r>
        <w:t>location</w:t>
      </w:r>
      <w:proofErr w:type="gramEnd"/>
      <w:r>
        <w:t xml:space="preserve"> for Body of Evidence (BoE). </w:t>
      </w:r>
    </w:p>
    <w:p w:rsidR="00B60B22" w:rsidP="00B60B22" w:rsidRDefault="00B60B22" w14:paraId="67743049" w14:textId="77777777">
      <w:pPr>
        <w:spacing w:after="0"/>
      </w:pPr>
    </w:p>
    <w:p w:rsidR="00B60B22" w:rsidP="00B60B22" w:rsidRDefault="009567CA" w14:paraId="6F6D4898" w14:textId="5C6D3FF2">
      <w:pPr>
        <w:pStyle w:val="Heading1"/>
        <w:numPr>
          <w:ilvl w:val="0"/>
          <w:numId w:val="52"/>
        </w:numPr>
      </w:pPr>
      <w:r>
        <w:t>Plan of Action and Milestones (POA&amp;M)</w:t>
      </w:r>
    </w:p>
    <w:p w:rsidR="00B60B22" w:rsidP="00B60B22" w:rsidRDefault="00B60B22" w14:paraId="4E86D485" w14:textId="77777777">
      <w:r>
        <w:t xml:space="preserve">The purpose of the POA&amp;M is to assist organizations in identifying, assessing, prioritizing, and monitoring the progress of corrective efforts for security weaknesses/deficiencies/vulnerabilities found in programs and systems.  </w:t>
      </w:r>
    </w:p>
    <w:p w:rsidR="00B60B22" w:rsidP="00B60B22" w:rsidRDefault="00B60B22" w14:paraId="2593E256" w14:textId="77777777">
      <w:pPr>
        <w:spacing w:after="15" w:line="259" w:lineRule="auto"/>
        <w:ind w:left="5"/>
      </w:pPr>
      <w:r>
        <w:t xml:space="preserve"> </w:t>
      </w:r>
    </w:p>
    <w:p w:rsidR="00B60B22" w:rsidP="00B60B22" w:rsidRDefault="00B60B22" w14:paraId="355EC5EC" w14:textId="77777777">
      <w:pPr>
        <w:spacing w:after="34"/>
      </w:pPr>
      <w:r>
        <w:t xml:space="preserve">The POA&amp;M: </w:t>
      </w:r>
    </w:p>
    <w:p w:rsidR="00B60B22" w:rsidP="00B60B22" w:rsidRDefault="00B60B22" w14:paraId="0FDBCFEB" w14:textId="77777777">
      <w:pPr>
        <w:widowControl/>
        <w:numPr>
          <w:ilvl w:val="0"/>
          <w:numId w:val="49"/>
        </w:numPr>
        <w:autoSpaceDE/>
        <w:autoSpaceDN/>
        <w:spacing w:after="5" w:line="269" w:lineRule="auto"/>
        <w:ind w:hanging="360"/>
      </w:pPr>
      <w:r>
        <w:t xml:space="preserve">Facilitates a disciplined and structured approach to mitigating risks in accordance with the priorities of the ISO. </w:t>
      </w:r>
    </w:p>
    <w:p w:rsidR="00B60B22" w:rsidP="00B60B22" w:rsidRDefault="00B60B22" w14:paraId="7EC43466" w14:textId="77777777">
      <w:pPr>
        <w:widowControl/>
        <w:numPr>
          <w:ilvl w:val="0"/>
          <w:numId w:val="49"/>
        </w:numPr>
        <w:autoSpaceDE/>
        <w:autoSpaceDN/>
        <w:spacing w:after="5" w:line="269" w:lineRule="auto"/>
        <w:ind w:hanging="360"/>
      </w:pPr>
      <w:r>
        <w:t xml:space="preserve">Includes the findings and recommendations of the security assessment report and the continual security assessments. </w:t>
      </w:r>
    </w:p>
    <w:p w:rsidR="00B60B22" w:rsidP="00B60B22" w:rsidRDefault="00B60B22" w14:paraId="481B1894" w14:textId="77777777">
      <w:pPr>
        <w:widowControl/>
        <w:numPr>
          <w:ilvl w:val="0"/>
          <w:numId w:val="49"/>
        </w:numPr>
        <w:autoSpaceDE/>
        <w:autoSpaceDN/>
        <w:spacing w:after="5" w:line="269" w:lineRule="auto"/>
        <w:ind w:hanging="360"/>
      </w:pPr>
      <w:r>
        <w:t xml:space="preserve">Is a living document and to be maintained throughout the life of the system. </w:t>
      </w:r>
    </w:p>
    <w:p w:rsidR="00B60B22" w:rsidP="00B60B22" w:rsidRDefault="00B60B22" w14:paraId="528AB26B" w14:textId="77777777">
      <w:pPr>
        <w:spacing w:after="20" w:line="259" w:lineRule="auto"/>
        <w:ind w:left="5"/>
      </w:pPr>
      <w:r>
        <w:t xml:space="preserve"> </w:t>
      </w:r>
    </w:p>
    <w:p w:rsidR="00B60B22" w:rsidP="00B60B22" w:rsidRDefault="00B60B22" w14:paraId="2DEB85BE" w14:textId="77777777">
      <w:pPr>
        <w:spacing w:after="245"/>
        <w:ind w:hanging="14"/>
      </w:pPr>
      <w:r>
        <w:t xml:space="preserve">All non-mitigated requirements must be documented in the POA&amp;M with an explanation as to how and when they will be fixed and/or mitigated. Information can be added to the POA&amp;M attachment as part of the Security Authorization Package. </w:t>
      </w:r>
    </w:p>
    <w:p w:rsidRPr="00CB1A3F" w:rsidR="00CB1A3F" w:rsidP="00CB1A3F" w:rsidRDefault="00CB1A3F" w14:paraId="2EC6054F" w14:textId="77777777">
      <w:pPr>
        <w:pStyle w:val="ListParagraph"/>
        <w:keepNext/>
        <w:keepLines/>
        <w:widowControl/>
        <w:numPr>
          <w:ilvl w:val="0"/>
          <w:numId w:val="1"/>
        </w:numPr>
        <w:autoSpaceDE/>
        <w:autoSpaceDN/>
        <w:spacing w:before="480" w:line="276" w:lineRule="auto"/>
        <w:ind w:right="720"/>
        <w:jc w:val="both"/>
        <w:outlineLvl w:val="1"/>
        <w:rPr>
          <w:rFonts w:eastAsia="Lato"/>
          <w:b/>
          <w:bCs/>
          <w:vanish/>
          <w:color w:val="365F91" w:themeColor="accent1" w:themeShade="BF"/>
        </w:rPr>
      </w:pPr>
      <w:bookmarkStart w:name="_Toc100583238" w:id="23"/>
    </w:p>
    <w:p w:rsidR="00B60B22" w:rsidP="00CB1A3F" w:rsidRDefault="00B60B22" w14:paraId="3F769FD1" w14:textId="7D728E32">
      <w:pPr>
        <w:pStyle w:val="Heading2"/>
        <w:ind w:left="710"/>
      </w:pPr>
      <w:r>
        <w:t>Remediation Preparation</w:t>
      </w:r>
      <w:bookmarkEnd w:id="23"/>
      <w:r>
        <w:t xml:space="preserve"> </w:t>
      </w:r>
    </w:p>
    <w:p w:rsidR="00B60B22" w:rsidP="00B60B22" w:rsidRDefault="00B60B22" w14:paraId="44DDEDF1" w14:textId="0AF8328D">
      <w:pPr>
        <w:spacing w:after="251"/>
      </w:pPr>
      <w:r>
        <w:t xml:space="preserve">In all cases, organizations should review findings and determine the severity or seriousness of the findings (potential adverse impact) and whether the findings are sufficiently significant to be worthy of further investigation and/or remediation.  </w:t>
      </w:r>
      <w:r w:rsidRPr="007D49B1">
        <w:t>The SAR helps determine the initial remediation actions and the prioritization of such actions</w:t>
      </w:r>
      <w:r>
        <w:t xml:space="preserve"> and provides visibility into specific weaknesses and deficiencies in the security requirements used within or inherited by the information system that remain unresolved.  The Risk Analysis Report further clarifies the immediate impact (Threat x Vulnerability x Likelihood), area of concern, mechanisms, initial risk, mitigations, and residual risk level. Such weaknesses and deficiencies are potential vulnerabilities if exploitable by a threat source. Remediation Actions are intended to fix NM requirements. POA&amp;Ms are used to provide the method and timeline for remediation. Assigned personnel conduct remediation of NM requirements based on findings and recommendations of the SAR, reassessing remediated control(s) as appropriate. </w:t>
      </w:r>
    </w:p>
    <w:p w:rsidR="00B60B22" w:rsidP="00B60B22" w:rsidRDefault="00B60B22" w14:paraId="10FE084D" w14:textId="77777777">
      <w:pPr>
        <w:spacing w:after="251"/>
      </w:pPr>
      <w:r w:rsidRPr="00152B47">
        <w:t xml:space="preserve">The AO Determination Brief and security plan is to be updated based on the findings of the security control assessment and all remediation actions taken. The updated brief and security plan </w:t>
      </w:r>
      <w:proofErr w:type="gramStart"/>
      <w:r w:rsidRPr="00152B47">
        <w:t>reflect</w:t>
      </w:r>
      <w:proofErr w:type="gramEnd"/>
      <w:r w:rsidRPr="00152B47">
        <w:t xml:space="preserve"> the actual state of the security requirements after the initial assessment along with any modifications by the ISO or common provider in addressing recommendations for corrective actions.</w:t>
      </w:r>
    </w:p>
    <w:p w:rsidR="00B60B22" w:rsidP="00B60B22" w:rsidRDefault="009567CA" w14:paraId="7C912BF7" w14:textId="07AD89C4">
      <w:pPr>
        <w:pStyle w:val="Heading1"/>
        <w:numPr>
          <w:ilvl w:val="0"/>
          <w:numId w:val="52"/>
        </w:numPr>
      </w:pPr>
      <w:bookmarkStart w:name="_Toc99102365" w:id="24"/>
      <w:bookmarkStart w:name="_Toc99102366" w:id="25"/>
      <w:bookmarkEnd w:id="24"/>
      <w:bookmarkEnd w:id="25"/>
      <w:r>
        <w:lastRenderedPageBreak/>
        <w:t>Security Assessment Report</w:t>
      </w:r>
    </w:p>
    <w:p w:rsidR="00B60B22" w:rsidP="00B60B22" w:rsidRDefault="00B60B22" w14:paraId="68509332" w14:textId="77777777">
      <w:r>
        <w:t xml:space="preserve">A Security Assessment Report (SAR) is a key artifact within the supporting evidence in an authorization determination, but not in all scenarios and is at the AOs discretion. The SAR documents the issues, findings, and recommendations from a security assessment. It addresses security requirements in a Non-Mitigated (NM) status, including existing and planned mitigations. If a compelling mission or business need requires the rapid introduction of a new information system or Platform IT system, both the assessment activity and a corresponding SAR should be considered.  Organizations may choose to develop an executive summary from the detailed findings generated during a security assessment. An executive summary provides the AO with an abbreviated version of the assessment report focusing on the highlights of the assessment, synopses of key findings, and/or recommendations for addressing weaknesses and deficiencies. </w:t>
      </w:r>
    </w:p>
    <w:p w:rsidR="00B60B22" w:rsidP="00B60B22" w:rsidRDefault="00B60B22" w14:paraId="762BD7BA" w14:textId="77777777"/>
    <w:p w:rsidR="00B60B22" w:rsidP="00CA22AE" w:rsidRDefault="009567CA" w14:paraId="0AFFF05C" w14:textId="7A478057">
      <w:pPr>
        <w:pStyle w:val="Heading1"/>
        <w:numPr>
          <w:ilvl w:val="0"/>
          <w:numId w:val="52"/>
        </w:numPr>
      </w:pPr>
      <w:r>
        <w:t>Risk Analysis Report</w:t>
      </w:r>
    </w:p>
    <w:p w:rsidRPr="009D614A" w:rsidR="00B60B22" w:rsidP="00B60B22" w:rsidRDefault="00B60B22" w14:paraId="17B4C195" w14:textId="77777777">
      <w:pPr>
        <w:ind w:hanging="14"/>
      </w:pPr>
      <w:r w:rsidRPr="009A4339">
        <w:t xml:space="preserve">This report is focused on “risk assessment of non-mitigated risks and addresses vulnerabilities and weaknesses displayed in the SAR after the assessment” has been completed by the CRA. All non-mitigated risks must be subjected to a risk assessment that considers multiple factors in assigning a residual risk level to each non-mitigated requirement. The individual risk levels are then used to inform the CRA’s recommendation (i.e., </w:t>
      </w:r>
      <w:r>
        <w:t xml:space="preserve">Risk </w:t>
      </w:r>
      <w:r w:rsidRPr="009A4339">
        <w:t>A</w:t>
      </w:r>
      <w:r>
        <w:t xml:space="preserve">nalysis </w:t>
      </w:r>
      <w:r w:rsidRPr="009A4339">
        <w:t>R</w:t>
      </w:r>
      <w:r>
        <w:t>eport</w:t>
      </w:r>
      <w:r w:rsidRPr="009A4339">
        <w:t>) to the AO on acceptance of the cybersecurity risk of operating the system.</w:t>
      </w:r>
    </w:p>
    <w:p w:rsidRPr="009D614A" w:rsidR="00B60B22" w:rsidP="00B60B22" w:rsidRDefault="00B60B22" w14:paraId="0C732189" w14:textId="77777777"/>
    <w:p w:rsidR="00B60B22" w:rsidP="00CA22AE" w:rsidRDefault="009567CA" w14:paraId="37DA4549" w14:textId="4AA06F5E">
      <w:pPr>
        <w:pStyle w:val="Heading1"/>
        <w:numPr>
          <w:ilvl w:val="0"/>
          <w:numId w:val="52"/>
        </w:numPr>
      </w:pPr>
      <w:r>
        <w:t>CRA Risk Recommendation</w:t>
      </w:r>
    </w:p>
    <w:p w:rsidR="00B60B22" w:rsidP="00B60B22" w:rsidRDefault="00B60B22" w14:paraId="4BA0C40E" w14:textId="77777777">
      <w:pPr>
        <w:ind w:hanging="14"/>
      </w:pPr>
      <w:r>
        <w:t xml:space="preserve">Based off the SAR results, the CRA will complete their CRA Risk Recommendation outlining the findings, risk levels, and conditions to mitigate.  This written recommendation is based off the final risk determination, including correcting any weaknesses, deficiencies, or existing and planned mitigations. The recommendation includes information from the assessor necessary to determine the effectiveness of the mitigation employed within or inherited by the IS based upon the assessor’s independent review. The RAR, SAR and CRA Risk Recommendation are the primary documents used by an AO to determine risk to organizational operations and assets, individuals, other organizations, and the Nation. </w:t>
      </w:r>
    </w:p>
    <w:p w:rsidR="00B60B22" w:rsidP="00B60B22" w:rsidRDefault="00B60B22" w14:paraId="718E3250" w14:textId="77777777"/>
    <w:p w:rsidR="00B60B22" w:rsidP="00CA22AE" w:rsidRDefault="00B60B22" w14:paraId="772D101C" w14:textId="6643706C">
      <w:pPr>
        <w:pStyle w:val="Heading1"/>
        <w:numPr>
          <w:ilvl w:val="0"/>
          <w:numId w:val="52"/>
        </w:numPr>
      </w:pPr>
      <w:bookmarkStart w:name="_Toc100583242" w:id="26"/>
      <w:r>
        <w:t xml:space="preserve">AO </w:t>
      </w:r>
      <w:bookmarkEnd w:id="26"/>
      <w:r w:rsidR="009567CA">
        <w:t>Authorization</w:t>
      </w:r>
    </w:p>
    <w:p w:rsidR="00B60B22" w:rsidP="00B60B22" w:rsidRDefault="00B60B22" w14:paraId="16CFF57D" w14:textId="77777777">
      <w:r>
        <w:t xml:space="preserve">The AO will determine the risk to organizational operations (including mission, functions, image, or reputation), organizational assets, individuals, other organizations, or the Nation. The AO considers the current security state of the system (as reflected by the risk assessment, recommendations provided in the SAR and final risk annotated in the Risk Analysis Report) and weighs this against the operational need for the system. The AO must also consider any applicable risk-related guidance from the DoD SISO, PAOs, DoD ISRMC, DSAWG, DoD </w:t>
      </w:r>
      <w:r>
        <w:lastRenderedPageBreak/>
        <w:t xml:space="preserve">Component SISO, or mission owner(s). Weighing these factors, the AO renders a final determination of risk to DoD operations and assets, individuals, other organizations, and the Nation from the operation and use of the system.  </w:t>
      </w:r>
    </w:p>
    <w:p w:rsidR="00B60B22" w:rsidP="00B60B22" w:rsidRDefault="00B60B22" w14:paraId="430984DE" w14:textId="77777777">
      <w:pPr>
        <w:spacing w:after="15" w:line="259" w:lineRule="auto"/>
        <w:ind w:left="5"/>
      </w:pPr>
      <w:r>
        <w:t xml:space="preserve"> </w:t>
      </w:r>
    </w:p>
    <w:p w:rsidR="00B60B22" w:rsidP="00B60B22" w:rsidRDefault="00B60B22" w14:paraId="5F3B04ED" w14:textId="77777777">
      <w:r>
        <w:t xml:space="preserve">An authorization determination applies to a specifically identified IS or PIT system and balances mission need against risk to the mission, the information being processed, the broader information environment, and other missions reliant on the shared information environment. A DoD authorization determination is expressed as an ATO, an ATO with conditions, an IATT, or a DATO. An IS or PIT system is considered unauthorized if an authorization determination has not been made.  The product of the final risk determination is the authorization determination document (letter) documenting the AO’s determination along with any terms or conditions the AO attaches to the determination. Finally, the AO’s signature on the authorization determination document indicates full acceptance of the risks associated with operating the system. </w:t>
      </w:r>
    </w:p>
    <w:p w:rsidRPr="00B56245" w:rsidR="00B60B22" w:rsidP="00B60B22" w:rsidRDefault="00B60B22" w14:paraId="7638CE7D" w14:textId="77777777"/>
    <w:p w:rsidR="00B60B22" w:rsidP="000A5683" w:rsidRDefault="009567CA" w14:paraId="7C567BCE" w14:textId="1541E312">
      <w:pPr>
        <w:pStyle w:val="Heading1"/>
        <w:numPr>
          <w:ilvl w:val="0"/>
          <w:numId w:val="52"/>
        </w:numPr>
        <w:ind w:left="540"/>
      </w:pPr>
      <w:r>
        <w:t>Tools</w:t>
      </w:r>
    </w:p>
    <w:p w:rsidR="00B60B22" w:rsidP="00B60B22" w:rsidRDefault="00B60B22" w14:paraId="1CD88B58" w14:textId="77777777">
      <w:r>
        <w:t xml:space="preserve">Defer to the CRA Onboarding process for associated guidance and links to the following tools and documents: </w:t>
      </w:r>
    </w:p>
    <w:p w:rsidR="00B60B22" w:rsidP="00B60B22" w:rsidRDefault="00B60B22" w14:paraId="3A666C09" w14:textId="77777777">
      <w:pPr>
        <w:widowControl/>
        <w:numPr>
          <w:ilvl w:val="0"/>
          <w:numId w:val="50"/>
        </w:numPr>
        <w:autoSpaceDE/>
        <w:autoSpaceDN/>
        <w:spacing w:after="5" w:line="269" w:lineRule="auto"/>
        <w:ind w:hanging="360"/>
        <w:jc w:val="both"/>
      </w:pPr>
      <w:r>
        <w:t xml:space="preserve">AO Determination Brief </w:t>
      </w:r>
    </w:p>
    <w:p w:rsidR="00B60B22" w:rsidP="00B60B22" w:rsidRDefault="00B60B22" w14:paraId="064B7089" w14:textId="77777777">
      <w:pPr>
        <w:widowControl/>
        <w:numPr>
          <w:ilvl w:val="0"/>
          <w:numId w:val="50"/>
        </w:numPr>
        <w:autoSpaceDE/>
        <w:autoSpaceDN/>
        <w:spacing w:after="5" w:line="269" w:lineRule="auto"/>
        <w:ind w:hanging="360"/>
        <w:jc w:val="both"/>
      </w:pPr>
      <w:r>
        <w:t xml:space="preserve">AO Determination Brief Guide </w:t>
      </w:r>
    </w:p>
    <w:p w:rsidR="00B60B22" w:rsidP="00B60B22" w:rsidRDefault="00B60B22" w14:paraId="1728F464" w14:textId="77777777">
      <w:pPr>
        <w:widowControl/>
        <w:numPr>
          <w:ilvl w:val="0"/>
          <w:numId w:val="50"/>
        </w:numPr>
        <w:autoSpaceDE/>
        <w:autoSpaceDN/>
        <w:spacing w:after="5" w:line="269" w:lineRule="auto"/>
        <w:ind w:hanging="360"/>
        <w:jc w:val="both"/>
      </w:pPr>
      <w:r>
        <w:t xml:space="preserve">IT Categorization and Security Checklist </w:t>
      </w:r>
    </w:p>
    <w:p w:rsidR="00B60B22" w:rsidP="00B60B22" w:rsidRDefault="00B60B22" w14:paraId="193451C9" w14:textId="77777777">
      <w:pPr>
        <w:widowControl/>
        <w:numPr>
          <w:ilvl w:val="0"/>
          <w:numId w:val="50"/>
        </w:numPr>
        <w:autoSpaceDE/>
        <w:autoSpaceDN/>
        <w:spacing w:after="5" w:line="269" w:lineRule="auto"/>
        <w:ind w:hanging="360"/>
        <w:jc w:val="both"/>
      </w:pPr>
      <w:r>
        <w:t xml:space="preserve">DevSecOps CONOPs (DSOP) </w:t>
      </w:r>
    </w:p>
    <w:p w:rsidR="00B60B22" w:rsidP="00B60B22" w:rsidRDefault="00B60B22" w14:paraId="07323B01" w14:textId="77777777">
      <w:pPr>
        <w:widowControl/>
        <w:numPr>
          <w:ilvl w:val="0"/>
          <w:numId w:val="51"/>
        </w:numPr>
        <w:autoSpaceDE/>
        <w:autoSpaceDN/>
        <w:spacing w:after="5" w:line="269" w:lineRule="auto"/>
        <w:ind w:hanging="360"/>
        <w:jc w:val="both"/>
      </w:pPr>
      <w:r>
        <w:t>Security Assessment Plan (SAP)</w:t>
      </w:r>
    </w:p>
    <w:p w:rsidR="00B60B22" w:rsidP="00B60B22" w:rsidRDefault="00B60B22" w14:paraId="2D0E4492" w14:textId="77777777">
      <w:pPr>
        <w:widowControl/>
        <w:numPr>
          <w:ilvl w:val="0"/>
          <w:numId w:val="51"/>
        </w:numPr>
        <w:autoSpaceDE/>
        <w:autoSpaceDN/>
        <w:spacing w:after="5" w:line="269" w:lineRule="auto"/>
        <w:ind w:hanging="360"/>
        <w:jc w:val="both"/>
      </w:pPr>
      <w:r>
        <w:t>Risk Analysis Report (RAR)</w:t>
      </w:r>
    </w:p>
    <w:p w:rsidR="00B60B22" w:rsidP="00B60B22" w:rsidRDefault="00B60B22" w14:paraId="17695927" w14:textId="77777777">
      <w:pPr>
        <w:widowControl/>
        <w:numPr>
          <w:ilvl w:val="0"/>
          <w:numId w:val="51"/>
        </w:numPr>
        <w:autoSpaceDE/>
        <w:autoSpaceDN/>
        <w:spacing w:after="5" w:line="269" w:lineRule="auto"/>
        <w:ind w:hanging="360"/>
        <w:jc w:val="both"/>
      </w:pPr>
      <w:r>
        <w:t xml:space="preserve">Plan of Action and Milestone (POA&amp;M) </w:t>
      </w:r>
    </w:p>
    <w:p w:rsidR="00B60B22" w:rsidP="00B60B22" w:rsidRDefault="00B60B22" w14:paraId="3F8DE4EA" w14:textId="77777777">
      <w:pPr>
        <w:widowControl/>
        <w:numPr>
          <w:ilvl w:val="0"/>
          <w:numId w:val="51"/>
        </w:numPr>
        <w:autoSpaceDE/>
        <w:autoSpaceDN/>
        <w:spacing w:after="5" w:line="269" w:lineRule="auto"/>
        <w:ind w:hanging="360"/>
        <w:jc w:val="both"/>
      </w:pPr>
      <w:r>
        <w:t>Security Assessment Report (SAR)</w:t>
      </w:r>
    </w:p>
    <w:p w:rsidR="00B60B22" w:rsidP="00B60B22" w:rsidRDefault="00B60B22" w14:paraId="4193C43E" w14:textId="77777777">
      <w:pPr>
        <w:widowControl/>
        <w:numPr>
          <w:ilvl w:val="0"/>
          <w:numId w:val="51"/>
        </w:numPr>
        <w:autoSpaceDE/>
        <w:autoSpaceDN/>
        <w:spacing w:after="5" w:line="269" w:lineRule="auto"/>
        <w:ind w:hanging="360"/>
        <w:jc w:val="both"/>
      </w:pPr>
      <w:r>
        <w:t>CRA Risk Recommendation Letter</w:t>
      </w:r>
    </w:p>
    <w:p w:rsidR="00B60B22" w:rsidP="00B60B22" w:rsidRDefault="00B60B22" w14:paraId="5CDC5331" w14:textId="77777777">
      <w:pPr>
        <w:widowControl/>
        <w:numPr>
          <w:ilvl w:val="0"/>
          <w:numId w:val="51"/>
        </w:numPr>
        <w:autoSpaceDE/>
        <w:autoSpaceDN/>
        <w:spacing w:after="5" w:line="269" w:lineRule="auto"/>
        <w:ind w:hanging="360"/>
        <w:jc w:val="both"/>
      </w:pPr>
      <w:r>
        <w:t xml:space="preserve">DRAFT Authorization Letter </w:t>
      </w:r>
    </w:p>
    <w:p w:rsidR="00B60B22" w:rsidP="00B60B22" w:rsidRDefault="00B60B22" w14:paraId="0B706262" w14:textId="77777777">
      <w:pPr>
        <w:widowControl/>
        <w:numPr>
          <w:ilvl w:val="0"/>
          <w:numId w:val="51"/>
        </w:numPr>
        <w:autoSpaceDE/>
        <w:autoSpaceDN/>
        <w:spacing w:after="5" w:line="269" w:lineRule="auto"/>
        <w:ind w:hanging="360"/>
        <w:jc w:val="both"/>
      </w:pPr>
      <w:r>
        <w:t>No Security Impact (NSI)</w:t>
      </w:r>
    </w:p>
    <w:p w:rsidRPr="000A5683" w:rsidR="00853BFF" w:rsidP="000A5683" w:rsidRDefault="00B60B22" w14:paraId="5FEB6261" w14:textId="7F9CB63F">
      <w:pPr>
        <w:widowControl/>
        <w:numPr>
          <w:ilvl w:val="0"/>
          <w:numId w:val="51"/>
        </w:numPr>
        <w:autoSpaceDE/>
        <w:autoSpaceDN/>
        <w:spacing w:after="5" w:line="269" w:lineRule="auto"/>
        <w:ind w:hanging="360"/>
        <w:jc w:val="both"/>
      </w:pPr>
      <w:r>
        <w:t xml:space="preserve">Miscellaneous Templates (ISA, MOA, MOU, NSI) </w:t>
      </w:r>
    </w:p>
    <w:sectPr w:rsidRPr="000A5683" w:rsidR="00853BFF" w:rsidSect="006F05BB">
      <w:headerReference w:type="even" r:id="rId18"/>
      <w:footerReference w:type="even" r:id="rId19"/>
      <w:headerReference w:type="first" r:id="rId20"/>
      <w:footerReference w:type="first" r:id="rId21"/>
      <w:pgSz w:w="12240" w:h="15840" w:orient="portrait"/>
      <w:pgMar w:top="1440" w:right="1440" w:bottom="1440" w:left="144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5BB" w:rsidP="0041438E" w:rsidRDefault="006F05BB" w14:paraId="7A987B8E" w14:textId="77777777">
      <w:r>
        <w:separator/>
      </w:r>
    </w:p>
  </w:endnote>
  <w:endnote w:type="continuationSeparator" w:id="0">
    <w:p w:rsidR="006F05BB" w:rsidP="0041438E" w:rsidRDefault="006F05BB" w14:paraId="2520E708" w14:textId="77777777">
      <w:r>
        <w:continuationSeparator/>
      </w:r>
    </w:p>
  </w:endnote>
  <w:endnote w:type="continuationNotice" w:id="1">
    <w:p w:rsidR="006F05BB" w:rsidP="0041438E" w:rsidRDefault="006F05BB" w14:paraId="4EF651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7CA" w:rsidP="009567CA" w:rsidRDefault="009567CA" w14:paraId="04270666" w14:textId="77777777"/>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15"/>
      <w:gridCol w:w="1545"/>
    </w:tblGrid>
    <w:tr w:rsidR="009567CA" w:rsidTr="0888CD5B" w14:paraId="06CDA67F" w14:textId="77777777">
      <w:trPr>
        <w:trHeight w:val="286"/>
      </w:trPr>
      <w:tc>
        <w:tcPr>
          <w:tcW w:w="7815" w:type="dxa"/>
          <w:tcBorders>
            <w:top w:val="single" w:color="1D385B" w:sz="4" w:space="0"/>
            <w:left w:val="single" w:color="FFFFFF" w:themeColor="background1" w:sz="4" w:space="0"/>
            <w:bottom w:val="single" w:color="FFFFFF" w:themeColor="background1" w:sz="4" w:space="0"/>
            <w:right w:val="single" w:color="1D385B" w:sz="4" w:space="0"/>
          </w:tcBorders>
          <w:shd w:val="clear" w:color="auto" w:fill="auto"/>
          <w:tcMar>
            <w:top w:w="43" w:type="dxa"/>
            <w:left w:w="43" w:type="dxa"/>
            <w:bottom w:w="43" w:type="dxa"/>
            <w:right w:w="43" w:type="dxa"/>
          </w:tcMar>
        </w:tcPr>
        <w:p w:rsidRPr="00EE52A7" w:rsidR="009567CA" w:rsidP="009567CA" w:rsidRDefault="009567CA" w14:paraId="682D1EFD" w14:textId="48227709">
          <w:pPr>
            <w:rPr>
              <w:smallCaps w:val="1"/>
              <w:color w:val="333333"/>
            </w:rPr>
          </w:pPr>
          <w:bookmarkStart w:name="_Hlk134102166" w:id="9"/>
          <w:r w:rsidRPr="0888CD5B" w:rsidR="0888CD5B">
            <w:rPr>
              <w:smallCaps w:val="1"/>
              <w:color w:val="333333"/>
            </w:rPr>
            <w:t xml:space="preserve">OVL </w:t>
          </w:r>
          <w:bookmarkEnd w:id="9"/>
          <w:r w:rsidRPr="0888CD5B" w:rsidR="0888CD5B">
            <w:rPr>
              <w:smallCaps w:val="1"/>
              <w:color w:val="333333"/>
            </w:rPr>
            <w:t>CRA</w:t>
          </w:r>
          <w:r w:rsidRPr="0888CD5B" w:rsidR="0888CD5B">
            <w:rPr>
              <w:smallCaps w:val="1"/>
              <w:color w:val="333333"/>
            </w:rPr>
            <w:t xml:space="preserve"> </w:t>
          </w:r>
          <w:r w:rsidRPr="0888CD5B" w:rsidR="0888CD5B">
            <w:rPr>
              <w:smallCaps w:val="1"/>
              <w:color w:val="333333"/>
            </w:rPr>
            <w:t>Objectives v</w:t>
          </w:r>
          <w:r w:rsidRPr="0888CD5B" w:rsidR="0888CD5B">
            <w:rPr>
              <w:smallCaps w:val="1"/>
              <w:color w:val="333333"/>
            </w:rPr>
            <w:t>2</w:t>
          </w:r>
          <w:r w:rsidRPr="0888CD5B" w:rsidR="0888CD5B">
            <w:rPr>
              <w:smallCaps w:val="1"/>
              <w:color w:val="333333"/>
            </w:rPr>
            <w:t>.0</w:t>
          </w:r>
        </w:p>
      </w:tc>
      <w:tc>
        <w:tcPr>
          <w:tcW w:w="1545" w:type="dxa"/>
          <w:tcBorders>
            <w:top w:val="single" w:color="1D385B" w:sz="4" w:space="0"/>
            <w:left w:val="single" w:color="1D385B" w:sz="4" w:space="0"/>
            <w:bottom w:val="single" w:color="1D385B" w:sz="4" w:space="0"/>
            <w:right w:val="single" w:color="1D385B" w:sz="4" w:space="0"/>
          </w:tcBorders>
          <w:shd w:val="clear" w:color="auto" w:fill="1D385B"/>
          <w:tcMar>
            <w:top w:w="43" w:type="dxa"/>
            <w:left w:w="43" w:type="dxa"/>
            <w:bottom w:w="43" w:type="dxa"/>
            <w:right w:w="43" w:type="dxa"/>
          </w:tcMar>
        </w:tcPr>
        <w:p w:rsidRPr="00D041E6" w:rsidR="009567CA" w:rsidP="009567CA" w:rsidRDefault="009567CA" w14:paraId="260AC8FF" w14:textId="77777777">
          <w:pPr>
            <w:jc w:val="center"/>
            <w:rPr>
              <w:color w:val="FFFFFF" w:themeColor="background1"/>
            </w:rPr>
          </w:pPr>
          <w:r w:rsidRPr="00D041E6">
            <w:rPr>
              <w:color w:val="FFFFFF" w:themeColor="background1"/>
            </w:rPr>
            <w:t xml:space="preserve">Page </w:t>
          </w:r>
          <w:r w:rsidRPr="00D041E6">
            <w:rPr>
              <w:color w:val="FFFFFF" w:themeColor="background1"/>
            </w:rPr>
            <w:fldChar w:fldCharType="begin"/>
          </w:r>
          <w:r w:rsidRPr="00D041E6">
            <w:rPr>
              <w:color w:val="FFFFFF" w:themeColor="background1"/>
            </w:rPr>
            <w:instrText>PAGE</w:instrText>
          </w:r>
          <w:r w:rsidRPr="00D041E6">
            <w:rPr>
              <w:color w:val="FFFFFF" w:themeColor="background1"/>
            </w:rPr>
            <w:fldChar w:fldCharType="separate"/>
          </w:r>
          <w:r>
            <w:rPr>
              <w:color w:val="FFFFFF" w:themeColor="background1"/>
            </w:rPr>
            <w:t>1</w:t>
          </w:r>
          <w:r w:rsidRPr="00D041E6">
            <w:rPr>
              <w:color w:val="FFFFFF" w:themeColor="background1"/>
            </w:rPr>
            <w:fldChar w:fldCharType="end"/>
          </w:r>
        </w:p>
      </w:tc>
    </w:tr>
  </w:tbl>
  <w:p w:rsidRPr="009567CA" w:rsidR="00B15C14" w:rsidP="009567CA" w:rsidRDefault="00B15C14" w14:paraId="65BE8EC3" w14:textId="11C06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439B7954" w:rsidP="439B7954" w:rsidRDefault="439B7954" w14:paraId="64ABD2AD" w14:textId="24FEA51D">
    <w:pPr>
      <w:spacing w:before="0" w:beforeAutospacing="off" w:after="0" w:afterAutospacing="off"/>
      <w:jc w:val="left"/>
    </w:pPr>
    <w:r w:rsidRPr="439B7954" w:rsidR="439B7954">
      <w:rPr>
        <w:rFonts w:ascii="Times New Roman" w:hAnsi="Times New Roman" w:eastAsia="Times New Roman" w:cs="Times New Roman"/>
        <w:b w:val="0"/>
        <w:bCs w:val="0"/>
        <w:i w:val="0"/>
        <w:iCs w:val="0"/>
        <w:noProof w:val="0"/>
        <w:color w:val="000000" w:themeColor="text1" w:themeTint="FF" w:themeShade="FF"/>
        <w:sz w:val="16"/>
        <w:szCs w:val="16"/>
        <w:lang w:val="en-US"/>
      </w:rPr>
      <w:t xml:space="preserve">DISTRIBUTION STATEMENT A: Distribution approved for public release on 09 May 2025; distribution is unlimited.  </w:t>
    </w:r>
    <w:r>
      <w:br/>
    </w:r>
    <w:r w:rsidRPr="439B7954" w:rsidR="439B7954">
      <w:rPr>
        <w:rFonts w:ascii="Times New Roman" w:hAnsi="Times New Roman" w:eastAsia="Times New Roman" w:cs="Times New Roman"/>
        <w:b w:val="0"/>
        <w:bCs w:val="0"/>
        <w:i w:val="0"/>
        <w:iCs w:val="0"/>
        <w:noProof w:val="0"/>
        <w:color w:val="000000" w:themeColor="text1" w:themeTint="FF" w:themeShade="FF"/>
        <w:sz w:val="16"/>
        <w:szCs w:val="16"/>
        <w:lang w:val="en-US"/>
      </w:rPr>
      <w:t>Case Number: 25-T-2015</w:t>
    </w:r>
  </w:p>
  <w:p w:rsidR="439B7954" w:rsidP="439B7954" w:rsidRDefault="439B7954" w14:paraId="40811F0D" w14:textId="12A81220">
    <w:pPr>
      <w:tabs>
        <w:tab w:val="center" w:leader="none" w:pos="4680"/>
        <w:tab w:val="right" w:leader="none" w:pos="9360"/>
      </w:tabs>
      <w:spacing w:after="120"/>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p>
  <w:p w:rsidR="3FE99459" w:rsidP="3FE99459" w:rsidRDefault="3FE99459" w14:paraId="2DD558F1" w14:textId="3A8AE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721" w:rsidP="0041438E" w:rsidRDefault="00100721" w14:paraId="3C9B2F0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BB48ED" w:rsidTr="10BB48ED" w14:paraId="3309E1D7" w14:textId="77777777">
      <w:tc>
        <w:tcPr>
          <w:tcW w:w="3120" w:type="dxa"/>
        </w:tcPr>
        <w:p w:rsidR="10BB48ED" w:rsidP="0041438E" w:rsidRDefault="10BB48ED" w14:paraId="44364FB5" w14:textId="2CE96BB8">
          <w:pPr>
            <w:pStyle w:val="Header"/>
          </w:pPr>
        </w:p>
      </w:tc>
      <w:tc>
        <w:tcPr>
          <w:tcW w:w="3120" w:type="dxa"/>
        </w:tcPr>
        <w:p w:rsidR="10BB48ED" w:rsidP="0041438E" w:rsidRDefault="10BB48ED" w14:paraId="5894C841" w14:textId="308D917A">
          <w:pPr>
            <w:pStyle w:val="Header"/>
          </w:pPr>
        </w:p>
      </w:tc>
      <w:tc>
        <w:tcPr>
          <w:tcW w:w="3120" w:type="dxa"/>
        </w:tcPr>
        <w:p w:rsidR="10BB48ED" w:rsidP="0041438E" w:rsidRDefault="10BB48ED" w14:paraId="35583728" w14:textId="764C88A5">
          <w:pPr>
            <w:pStyle w:val="Header"/>
          </w:pPr>
        </w:p>
      </w:tc>
    </w:tr>
  </w:tbl>
  <w:p w:rsidR="10BB48ED" w:rsidP="0041438E" w:rsidRDefault="10BB48ED" w14:paraId="7B27653A" w14:textId="0F0EA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5BB" w:rsidP="0041438E" w:rsidRDefault="006F05BB" w14:paraId="00E80FC4" w14:textId="77777777">
      <w:r>
        <w:separator/>
      </w:r>
    </w:p>
  </w:footnote>
  <w:footnote w:type="continuationSeparator" w:id="0">
    <w:p w:rsidR="006F05BB" w:rsidP="0041438E" w:rsidRDefault="006F05BB" w14:paraId="74959C88" w14:textId="77777777">
      <w:r>
        <w:continuationSeparator/>
      </w:r>
    </w:p>
  </w:footnote>
  <w:footnote w:type="continuationNotice" w:id="1">
    <w:p w:rsidR="006F05BB" w:rsidP="0041438E" w:rsidRDefault="006F05BB" w14:paraId="4DA3FC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67CA" w:rsidP="009567CA" w:rsidRDefault="009567CA" w14:paraId="4350CA48" w14:textId="77777777">
    <w:pPr>
      <w:pStyle w:val="Header"/>
      <w:rPr>
        <w:noProof/>
      </w:rPr>
    </w:pPr>
    <w:bookmarkStart w:name="_Hlk154001306" w:id="3"/>
    <w:bookmarkStart w:name="_Hlk154001307" w:id="4"/>
    <w:bookmarkStart w:name="_Hlk154001696" w:id="5"/>
    <w:bookmarkStart w:name="_Hlk154001697" w:id="6"/>
    <w:bookmarkStart w:name="_Hlk154001702" w:id="7"/>
    <w:bookmarkStart w:name="_Hlk154001703" w:id="8"/>
    <w:r>
      <w:rPr>
        <w:noProof/>
      </w:rPr>
      <w:drawing>
        <wp:anchor distT="0" distB="0" distL="114300" distR="114300" simplePos="0" relativeHeight="251658240" behindDoc="1" locked="0" layoutInCell="1" allowOverlap="1" wp14:anchorId="2BFBC8C2" wp14:editId="75517717">
          <wp:simplePos x="0" y="0"/>
          <wp:positionH relativeFrom="column">
            <wp:posOffset>51576</wp:posOffset>
          </wp:positionH>
          <wp:positionV relativeFrom="paragraph">
            <wp:posOffset>-121920</wp:posOffset>
          </wp:positionV>
          <wp:extent cx="361032" cy="464185"/>
          <wp:effectExtent l="0" t="0" r="0" b="0"/>
          <wp:wrapNone/>
          <wp:docPr id="2104353888" name="Picture 210435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53888" name="Picture 210435388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032" cy="464185"/>
                  </a:xfrm>
                  <a:prstGeom prst="rect">
                    <a:avLst/>
                  </a:prstGeom>
                  <a:noFill/>
                </pic:spPr>
              </pic:pic>
            </a:graphicData>
          </a:graphic>
          <wp14:sizeRelH relativeFrom="page">
            <wp14:pctWidth>0</wp14:pctWidth>
          </wp14:sizeRelH>
          <wp14:sizeRelV relativeFrom="page">
            <wp14:pctHeight>0</wp14:pctHeight>
          </wp14:sizeRelV>
        </wp:anchor>
      </w:drawing>
    </w:r>
  </w:p>
  <w:bookmarkEnd w:id="3"/>
  <w:bookmarkEnd w:id="4"/>
  <w:bookmarkEnd w:id="5"/>
  <w:bookmarkEnd w:id="6"/>
  <w:bookmarkEnd w:id="7"/>
  <w:bookmarkEnd w:id="8"/>
  <w:p w:rsidR="009567CA" w:rsidP="009567CA" w:rsidRDefault="009567CA" w14:paraId="0D6D0F97" w14:textId="77777777">
    <w:pPr>
      <w:pStyle w:val="Header"/>
      <w:pBdr>
        <w:bottom w:val="single" w:color="1D385B" w:sz="4" w:space="1"/>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BB48ED" w:rsidTr="10BB48ED" w14:paraId="17172DC0" w14:textId="77777777">
      <w:tc>
        <w:tcPr>
          <w:tcW w:w="3120" w:type="dxa"/>
        </w:tcPr>
        <w:p w:rsidR="10BB48ED" w:rsidP="0041438E" w:rsidRDefault="10BB48ED" w14:paraId="08C3906A" w14:textId="6681F1F2">
          <w:pPr>
            <w:pStyle w:val="Header"/>
          </w:pPr>
        </w:p>
      </w:tc>
      <w:tc>
        <w:tcPr>
          <w:tcW w:w="3120" w:type="dxa"/>
        </w:tcPr>
        <w:p w:rsidR="10BB48ED" w:rsidP="0041438E" w:rsidRDefault="10BB48ED" w14:paraId="48329FB5" w14:textId="6F6FFFA7">
          <w:pPr>
            <w:pStyle w:val="Header"/>
          </w:pPr>
        </w:p>
      </w:tc>
      <w:tc>
        <w:tcPr>
          <w:tcW w:w="3120" w:type="dxa"/>
        </w:tcPr>
        <w:p w:rsidR="10BB48ED" w:rsidP="0041438E" w:rsidRDefault="10BB48ED" w14:paraId="4706D9E1" w14:textId="38939F4F">
          <w:pPr>
            <w:pStyle w:val="Header"/>
          </w:pPr>
        </w:p>
      </w:tc>
    </w:tr>
  </w:tbl>
  <w:p w:rsidR="10BB48ED" w:rsidP="0041438E" w:rsidRDefault="10BB48ED" w14:paraId="3672AD64" w14:textId="1AD14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721" w:rsidP="0041438E" w:rsidRDefault="00100721" w14:paraId="0EFB933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BB48ED" w:rsidTr="10BB48ED" w14:paraId="68C3FAC5" w14:textId="77777777">
      <w:tc>
        <w:tcPr>
          <w:tcW w:w="3120" w:type="dxa"/>
        </w:tcPr>
        <w:p w:rsidR="10BB48ED" w:rsidP="0041438E" w:rsidRDefault="10BB48ED" w14:paraId="2E6C1EC9" w14:textId="13384BAC">
          <w:pPr>
            <w:pStyle w:val="Header"/>
          </w:pPr>
        </w:p>
      </w:tc>
      <w:tc>
        <w:tcPr>
          <w:tcW w:w="3120" w:type="dxa"/>
        </w:tcPr>
        <w:p w:rsidR="10BB48ED" w:rsidP="0041438E" w:rsidRDefault="10BB48ED" w14:paraId="0560DADE" w14:textId="61B19938">
          <w:pPr>
            <w:pStyle w:val="Header"/>
          </w:pPr>
        </w:p>
      </w:tc>
      <w:tc>
        <w:tcPr>
          <w:tcW w:w="3120" w:type="dxa"/>
        </w:tcPr>
        <w:p w:rsidR="10BB48ED" w:rsidP="0041438E" w:rsidRDefault="10BB48ED" w14:paraId="7966A546" w14:textId="18FBB88C">
          <w:pPr>
            <w:pStyle w:val="Header"/>
          </w:pPr>
        </w:p>
      </w:tc>
    </w:tr>
  </w:tbl>
  <w:p w:rsidR="10BB48ED" w:rsidP="0041438E" w:rsidRDefault="10BB48ED" w14:paraId="1826ECEB" w14:textId="757B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0D8"/>
    <w:multiLevelType w:val="hybridMultilevel"/>
    <w:tmpl w:val="7F6835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ED6DBE"/>
    <w:multiLevelType w:val="hybridMultilevel"/>
    <w:tmpl w:val="A510F4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2B3E10"/>
    <w:multiLevelType w:val="multilevel"/>
    <w:tmpl w:val="2544253C"/>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CC235B"/>
    <w:multiLevelType w:val="hybridMultilevel"/>
    <w:tmpl w:val="40568BDE"/>
    <w:lvl w:ilvl="0" w:tplc="2FD42BA0">
      <w:start w:val="1"/>
      <w:numFmt w:val="bullet"/>
      <w:lvlText w:val="•"/>
      <w:lvlJc w:val="left"/>
      <w:pPr>
        <w:ind w:left="7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1344DC2">
      <w:start w:val="1"/>
      <w:numFmt w:val="bullet"/>
      <w:lvlText w:val="o"/>
      <w:lvlJc w:val="left"/>
      <w:pPr>
        <w:ind w:left="14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0962D6C">
      <w:start w:val="1"/>
      <w:numFmt w:val="bullet"/>
      <w:lvlText w:val="▪"/>
      <w:lvlJc w:val="left"/>
      <w:pPr>
        <w:ind w:left="21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3B06428">
      <w:start w:val="1"/>
      <w:numFmt w:val="bullet"/>
      <w:lvlText w:val="•"/>
      <w:lvlJc w:val="left"/>
      <w:pPr>
        <w:ind w:left="28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F166466">
      <w:start w:val="1"/>
      <w:numFmt w:val="bullet"/>
      <w:lvlText w:val="o"/>
      <w:lvlJc w:val="left"/>
      <w:pPr>
        <w:ind w:left="36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1E54D68A">
      <w:start w:val="1"/>
      <w:numFmt w:val="bullet"/>
      <w:lvlText w:val="▪"/>
      <w:lvlJc w:val="left"/>
      <w:pPr>
        <w:ind w:left="43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7709164">
      <w:start w:val="1"/>
      <w:numFmt w:val="bullet"/>
      <w:lvlText w:val="•"/>
      <w:lvlJc w:val="left"/>
      <w:pPr>
        <w:ind w:left="50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AA8CC66">
      <w:start w:val="1"/>
      <w:numFmt w:val="bullet"/>
      <w:lvlText w:val="o"/>
      <w:lvlJc w:val="left"/>
      <w:pPr>
        <w:ind w:left="57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AB49040">
      <w:start w:val="1"/>
      <w:numFmt w:val="bullet"/>
      <w:lvlText w:val="▪"/>
      <w:lvlJc w:val="left"/>
      <w:pPr>
        <w:ind w:left="64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100E2754"/>
    <w:multiLevelType w:val="hybridMultilevel"/>
    <w:tmpl w:val="0F244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3C78B7"/>
    <w:multiLevelType w:val="hybridMultilevel"/>
    <w:tmpl w:val="AEAA4E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5A20DB3"/>
    <w:multiLevelType w:val="hybridMultilevel"/>
    <w:tmpl w:val="B61A7B06"/>
    <w:lvl w:ilvl="0" w:tplc="1C205BF2">
      <w:start w:val="1"/>
      <w:numFmt w:val="lowerLetter"/>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53E1D"/>
    <w:multiLevelType w:val="hybridMultilevel"/>
    <w:tmpl w:val="33EEB2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8FE0EE1"/>
    <w:multiLevelType w:val="hybridMultilevel"/>
    <w:tmpl w:val="1186C0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B2B7A40"/>
    <w:multiLevelType w:val="hybridMultilevel"/>
    <w:tmpl w:val="7ECA83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667ECE"/>
    <w:multiLevelType w:val="hybridMultilevel"/>
    <w:tmpl w:val="065E8B88"/>
    <w:lvl w:ilvl="0" w:tplc="654C7F8C">
      <w:numFmt w:val="bullet"/>
      <w:lvlText w:val=""/>
      <w:lvlJc w:val="left"/>
      <w:pPr>
        <w:ind w:left="853" w:hanging="360"/>
      </w:pPr>
      <w:rPr>
        <w:rFonts w:hint="default" w:ascii="Symbol" w:hAnsi="Symbol" w:eastAsia="Symbol" w:cs="Symbol"/>
        <w:w w:val="102"/>
        <w:sz w:val="22"/>
        <w:szCs w:val="22"/>
        <w:lang w:val="en-US" w:eastAsia="en-US" w:bidi="ar-SA"/>
      </w:rPr>
    </w:lvl>
    <w:lvl w:ilvl="1" w:tplc="B20A9698">
      <w:numFmt w:val="bullet"/>
      <w:lvlText w:val="•"/>
      <w:lvlJc w:val="left"/>
      <w:pPr>
        <w:ind w:left="1250" w:hanging="360"/>
      </w:pPr>
      <w:rPr>
        <w:rFonts w:hint="default"/>
        <w:lang w:val="en-US" w:eastAsia="en-US" w:bidi="ar-SA"/>
      </w:rPr>
    </w:lvl>
    <w:lvl w:ilvl="2" w:tplc="D6D8C4DC">
      <w:numFmt w:val="bullet"/>
      <w:lvlText w:val="•"/>
      <w:lvlJc w:val="left"/>
      <w:pPr>
        <w:ind w:left="1641" w:hanging="360"/>
      </w:pPr>
      <w:rPr>
        <w:rFonts w:hint="default"/>
        <w:lang w:val="en-US" w:eastAsia="en-US" w:bidi="ar-SA"/>
      </w:rPr>
    </w:lvl>
    <w:lvl w:ilvl="3" w:tplc="AF40A698">
      <w:numFmt w:val="bullet"/>
      <w:lvlText w:val="•"/>
      <w:lvlJc w:val="left"/>
      <w:pPr>
        <w:ind w:left="2031" w:hanging="360"/>
      </w:pPr>
      <w:rPr>
        <w:rFonts w:hint="default"/>
        <w:lang w:val="en-US" w:eastAsia="en-US" w:bidi="ar-SA"/>
      </w:rPr>
    </w:lvl>
    <w:lvl w:ilvl="4" w:tplc="9D52F99A">
      <w:numFmt w:val="bullet"/>
      <w:lvlText w:val="•"/>
      <w:lvlJc w:val="left"/>
      <w:pPr>
        <w:ind w:left="2422" w:hanging="360"/>
      </w:pPr>
      <w:rPr>
        <w:rFonts w:hint="default"/>
        <w:lang w:val="en-US" w:eastAsia="en-US" w:bidi="ar-SA"/>
      </w:rPr>
    </w:lvl>
    <w:lvl w:ilvl="5" w:tplc="2148179E">
      <w:numFmt w:val="bullet"/>
      <w:lvlText w:val="•"/>
      <w:lvlJc w:val="left"/>
      <w:pPr>
        <w:ind w:left="2813" w:hanging="360"/>
      </w:pPr>
      <w:rPr>
        <w:rFonts w:hint="default"/>
        <w:lang w:val="en-US" w:eastAsia="en-US" w:bidi="ar-SA"/>
      </w:rPr>
    </w:lvl>
    <w:lvl w:ilvl="6" w:tplc="59BC0380">
      <w:numFmt w:val="bullet"/>
      <w:lvlText w:val="•"/>
      <w:lvlJc w:val="left"/>
      <w:pPr>
        <w:ind w:left="3203" w:hanging="360"/>
      </w:pPr>
      <w:rPr>
        <w:rFonts w:hint="default"/>
        <w:lang w:val="en-US" w:eastAsia="en-US" w:bidi="ar-SA"/>
      </w:rPr>
    </w:lvl>
    <w:lvl w:ilvl="7" w:tplc="8B6C1156">
      <w:numFmt w:val="bullet"/>
      <w:lvlText w:val="•"/>
      <w:lvlJc w:val="left"/>
      <w:pPr>
        <w:ind w:left="3594" w:hanging="360"/>
      </w:pPr>
      <w:rPr>
        <w:rFonts w:hint="default"/>
        <w:lang w:val="en-US" w:eastAsia="en-US" w:bidi="ar-SA"/>
      </w:rPr>
    </w:lvl>
    <w:lvl w:ilvl="8" w:tplc="600C007E">
      <w:numFmt w:val="bullet"/>
      <w:lvlText w:val="•"/>
      <w:lvlJc w:val="left"/>
      <w:pPr>
        <w:ind w:left="3985" w:hanging="360"/>
      </w:pPr>
      <w:rPr>
        <w:rFonts w:hint="default"/>
        <w:lang w:val="en-US" w:eastAsia="en-US" w:bidi="ar-SA"/>
      </w:rPr>
    </w:lvl>
  </w:abstractNum>
  <w:abstractNum w:abstractNumId="11" w15:restartNumberingAfterBreak="0">
    <w:nsid w:val="1ECE0139"/>
    <w:multiLevelType w:val="hybridMultilevel"/>
    <w:tmpl w:val="2620FE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F3271E4"/>
    <w:multiLevelType w:val="hybridMultilevel"/>
    <w:tmpl w:val="F49A57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19F13FD"/>
    <w:multiLevelType w:val="hybridMultilevel"/>
    <w:tmpl w:val="9D2E8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B46D2"/>
    <w:multiLevelType w:val="hybridMultilevel"/>
    <w:tmpl w:val="75549474"/>
    <w:lvl w:ilvl="0" w:tplc="98B269A8">
      <w:numFmt w:val="bullet"/>
      <w:lvlText w:val=""/>
      <w:lvlJc w:val="left"/>
      <w:pPr>
        <w:ind w:left="680" w:hanging="361"/>
      </w:pPr>
      <w:rPr>
        <w:rFonts w:hint="default" w:ascii="Symbol" w:hAnsi="Symbol" w:eastAsia="Symbol" w:cs="Symbol"/>
        <w:w w:val="102"/>
        <w:sz w:val="22"/>
        <w:szCs w:val="22"/>
        <w:lang w:val="en-US" w:eastAsia="en-US" w:bidi="ar-SA"/>
      </w:rPr>
    </w:lvl>
    <w:lvl w:ilvl="1" w:tplc="B51CA5F4">
      <w:numFmt w:val="bullet"/>
      <w:lvlText w:val=""/>
      <w:lvlJc w:val="left"/>
      <w:pPr>
        <w:ind w:left="1580" w:hanging="360"/>
      </w:pPr>
      <w:rPr>
        <w:rFonts w:hint="default" w:ascii="Symbol" w:hAnsi="Symbol" w:eastAsia="Symbol" w:cs="Symbol"/>
        <w:w w:val="102"/>
        <w:sz w:val="22"/>
        <w:szCs w:val="22"/>
        <w:lang w:val="en-US" w:eastAsia="en-US" w:bidi="ar-SA"/>
      </w:rPr>
    </w:lvl>
    <w:lvl w:ilvl="2" w:tplc="2B0CD9D2">
      <w:numFmt w:val="bullet"/>
      <w:lvlText w:val="•"/>
      <w:lvlJc w:val="left"/>
      <w:pPr>
        <w:ind w:left="1580" w:hanging="360"/>
      </w:pPr>
      <w:rPr>
        <w:rFonts w:hint="default"/>
        <w:lang w:val="en-US" w:eastAsia="en-US" w:bidi="ar-SA"/>
      </w:rPr>
    </w:lvl>
    <w:lvl w:ilvl="3" w:tplc="ED42A826">
      <w:numFmt w:val="bullet"/>
      <w:lvlText w:val="•"/>
      <w:lvlJc w:val="left"/>
      <w:pPr>
        <w:ind w:left="2677" w:hanging="360"/>
      </w:pPr>
      <w:rPr>
        <w:rFonts w:hint="default"/>
        <w:lang w:val="en-US" w:eastAsia="en-US" w:bidi="ar-SA"/>
      </w:rPr>
    </w:lvl>
    <w:lvl w:ilvl="4" w:tplc="2AC0642C">
      <w:numFmt w:val="bullet"/>
      <w:lvlText w:val="•"/>
      <w:lvlJc w:val="left"/>
      <w:pPr>
        <w:ind w:left="3775" w:hanging="360"/>
      </w:pPr>
      <w:rPr>
        <w:rFonts w:hint="default"/>
        <w:lang w:val="en-US" w:eastAsia="en-US" w:bidi="ar-SA"/>
      </w:rPr>
    </w:lvl>
    <w:lvl w:ilvl="5" w:tplc="8620E7C0">
      <w:numFmt w:val="bullet"/>
      <w:lvlText w:val="•"/>
      <w:lvlJc w:val="left"/>
      <w:pPr>
        <w:ind w:left="4872" w:hanging="360"/>
      </w:pPr>
      <w:rPr>
        <w:rFonts w:hint="default"/>
        <w:lang w:val="en-US" w:eastAsia="en-US" w:bidi="ar-SA"/>
      </w:rPr>
    </w:lvl>
    <w:lvl w:ilvl="6" w:tplc="5894ADBA">
      <w:numFmt w:val="bullet"/>
      <w:lvlText w:val="•"/>
      <w:lvlJc w:val="left"/>
      <w:pPr>
        <w:ind w:left="5970" w:hanging="360"/>
      </w:pPr>
      <w:rPr>
        <w:rFonts w:hint="default"/>
        <w:lang w:val="en-US" w:eastAsia="en-US" w:bidi="ar-SA"/>
      </w:rPr>
    </w:lvl>
    <w:lvl w:ilvl="7" w:tplc="24FACD5E">
      <w:numFmt w:val="bullet"/>
      <w:lvlText w:val="•"/>
      <w:lvlJc w:val="left"/>
      <w:pPr>
        <w:ind w:left="7067" w:hanging="360"/>
      </w:pPr>
      <w:rPr>
        <w:rFonts w:hint="default"/>
        <w:lang w:val="en-US" w:eastAsia="en-US" w:bidi="ar-SA"/>
      </w:rPr>
    </w:lvl>
    <w:lvl w:ilvl="8" w:tplc="2A16DDB4">
      <w:numFmt w:val="bullet"/>
      <w:lvlText w:val="•"/>
      <w:lvlJc w:val="left"/>
      <w:pPr>
        <w:ind w:left="8165" w:hanging="360"/>
      </w:pPr>
      <w:rPr>
        <w:rFonts w:hint="default"/>
        <w:lang w:val="en-US" w:eastAsia="en-US" w:bidi="ar-SA"/>
      </w:rPr>
    </w:lvl>
  </w:abstractNum>
  <w:abstractNum w:abstractNumId="15" w15:restartNumberingAfterBreak="0">
    <w:nsid w:val="270062C8"/>
    <w:multiLevelType w:val="hybridMultilevel"/>
    <w:tmpl w:val="9CBC6A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7145D66"/>
    <w:multiLevelType w:val="hybridMultilevel"/>
    <w:tmpl w:val="9CF4E3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7DE2446"/>
    <w:multiLevelType w:val="hybridMultilevel"/>
    <w:tmpl w:val="6F962FB4"/>
    <w:lvl w:ilvl="0" w:tplc="9502D1D4">
      <w:start w:val="1"/>
      <w:numFmt w:val="bullet"/>
      <w:lvlText w:val="•"/>
      <w:lvlJc w:val="left"/>
      <w:pPr>
        <w:ind w:left="7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748F656">
      <w:start w:val="1"/>
      <w:numFmt w:val="bullet"/>
      <w:lvlText w:val="o"/>
      <w:lvlJc w:val="left"/>
      <w:pPr>
        <w:ind w:left="1086"/>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2" w:tplc="F7700DA6">
      <w:start w:val="1"/>
      <w:numFmt w:val="bullet"/>
      <w:lvlText w:val="▪"/>
      <w:lvlJc w:val="left"/>
      <w:pPr>
        <w:ind w:left="1801"/>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3" w:tplc="F09AC942">
      <w:start w:val="1"/>
      <w:numFmt w:val="bullet"/>
      <w:lvlText w:val="•"/>
      <w:lvlJc w:val="left"/>
      <w:pPr>
        <w:ind w:left="2521"/>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4" w:tplc="980A4604">
      <w:start w:val="1"/>
      <w:numFmt w:val="bullet"/>
      <w:lvlText w:val="o"/>
      <w:lvlJc w:val="left"/>
      <w:pPr>
        <w:ind w:left="3241"/>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5" w:tplc="8D72B9B8">
      <w:start w:val="1"/>
      <w:numFmt w:val="bullet"/>
      <w:lvlText w:val="▪"/>
      <w:lvlJc w:val="left"/>
      <w:pPr>
        <w:ind w:left="3961"/>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6" w:tplc="553C6150">
      <w:start w:val="1"/>
      <w:numFmt w:val="bullet"/>
      <w:lvlText w:val="•"/>
      <w:lvlJc w:val="left"/>
      <w:pPr>
        <w:ind w:left="4681"/>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7" w:tplc="B13A98F8">
      <w:start w:val="1"/>
      <w:numFmt w:val="bullet"/>
      <w:lvlText w:val="o"/>
      <w:lvlJc w:val="left"/>
      <w:pPr>
        <w:ind w:left="5401"/>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8" w:tplc="0BC24EFE">
      <w:start w:val="1"/>
      <w:numFmt w:val="bullet"/>
      <w:lvlText w:val="▪"/>
      <w:lvlJc w:val="left"/>
      <w:pPr>
        <w:ind w:left="6121"/>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abstractNum>
  <w:abstractNum w:abstractNumId="18" w15:restartNumberingAfterBreak="0">
    <w:nsid w:val="28404AA0"/>
    <w:multiLevelType w:val="hybridMultilevel"/>
    <w:tmpl w:val="254646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9BB2DE8"/>
    <w:multiLevelType w:val="hybridMultilevel"/>
    <w:tmpl w:val="9A8A3606"/>
    <w:lvl w:ilvl="0" w:tplc="06DA32B8">
      <w:start w:val="1"/>
      <w:numFmt w:val="decimal"/>
      <w:lvlText w:val="%1."/>
      <w:lvlJc w:val="left"/>
      <w:pPr>
        <w:ind w:left="72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CA87F0E">
      <w:start w:val="1"/>
      <w:numFmt w:val="lowerLetter"/>
      <w:lvlText w:val="%2"/>
      <w:lvlJc w:val="left"/>
      <w:pPr>
        <w:ind w:left="14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DF6E3942">
      <w:start w:val="1"/>
      <w:numFmt w:val="lowerRoman"/>
      <w:lvlText w:val="%3"/>
      <w:lvlJc w:val="left"/>
      <w:pPr>
        <w:ind w:left="216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28F463CE">
      <w:start w:val="1"/>
      <w:numFmt w:val="decimal"/>
      <w:lvlText w:val="%4"/>
      <w:lvlJc w:val="left"/>
      <w:pPr>
        <w:ind w:left="28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BA2D1E2">
      <w:start w:val="1"/>
      <w:numFmt w:val="lowerLetter"/>
      <w:lvlText w:val="%5"/>
      <w:lvlJc w:val="left"/>
      <w:pPr>
        <w:ind w:left="360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80A8552E">
      <w:start w:val="1"/>
      <w:numFmt w:val="lowerRoman"/>
      <w:lvlText w:val="%6"/>
      <w:lvlJc w:val="left"/>
      <w:pPr>
        <w:ind w:left="432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1B3E856A">
      <w:start w:val="1"/>
      <w:numFmt w:val="decimal"/>
      <w:lvlText w:val="%7"/>
      <w:lvlJc w:val="left"/>
      <w:pPr>
        <w:ind w:left="50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11EA5F0">
      <w:start w:val="1"/>
      <w:numFmt w:val="lowerLetter"/>
      <w:lvlText w:val="%8"/>
      <w:lvlJc w:val="left"/>
      <w:pPr>
        <w:ind w:left="576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5CEAB36">
      <w:start w:val="1"/>
      <w:numFmt w:val="lowerRoman"/>
      <w:lvlText w:val="%9"/>
      <w:lvlJc w:val="left"/>
      <w:pPr>
        <w:ind w:left="64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0" w15:restartNumberingAfterBreak="0">
    <w:nsid w:val="3310173C"/>
    <w:multiLevelType w:val="hybridMultilevel"/>
    <w:tmpl w:val="39E43A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BD5E50"/>
    <w:multiLevelType w:val="hybridMultilevel"/>
    <w:tmpl w:val="087614C6"/>
    <w:lvl w:ilvl="0" w:tplc="6F40875C">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0087E"/>
    <w:multiLevelType w:val="hybridMultilevel"/>
    <w:tmpl w:val="152CA8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15371C"/>
    <w:multiLevelType w:val="hybridMultilevel"/>
    <w:tmpl w:val="C156BCBC"/>
    <w:lvl w:ilvl="0" w:tplc="04090001">
      <w:start w:val="1"/>
      <w:numFmt w:val="bullet"/>
      <w:lvlText w:val=""/>
      <w:lvlJc w:val="left"/>
      <w:pPr>
        <w:ind w:left="1580" w:hanging="360"/>
      </w:pPr>
      <w:rPr>
        <w:rFonts w:hint="default" w:ascii="Symbol" w:hAnsi="Symbol"/>
      </w:rPr>
    </w:lvl>
    <w:lvl w:ilvl="1" w:tplc="04090003" w:tentative="1">
      <w:start w:val="1"/>
      <w:numFmt w:val="bullet"/>
      <w:lvlText w:val="o"/>
      <w:lvlJc w:val="left"/>
      <w:pPr>
        <w:ind w:left="2300" w:hanging="360"/>
      </w:pPr>
      <w:rPr>
        <w:rFonts w:hint="default" w:ascii="Courier New" w:hAnsi="Courier New" w:cs="Courier New"/>
      </w:rPr>
    </w:lvl>
    <w:lvl w:ilvl="2" w:tplc="04090005" w:tentative="1">
      <w:start w:val="1"/>
      <w:numFmt w:val="bullet"/>
      <w:lvlText w:val=""/>
      <w:lvlJc w:val="left"/>
      <w:pPr>
        <w:ind w:left="3020" w:hanging="360"/>
      </w:pPr>
      <w:rPr>
        <w:rFonts w:hint="default" w:ascii="Wingdings" w:hAnsi="Wingdings"/>
      </w:rPr>
    </w:lvl>
    <w:lvl w:ilvl="3" w:tplc="04090001" w:tentative="1">
      <w:start w:val="1"/>
      <w:numFmt w:val="bullet"/>
      <w:lvlText w:val=""/>
      <w:lvlJc w:val="left"/>
      <w:pPr>
        <w:ind w:left="3740" w:hanging="360"/>
      </w:pPr>
      <w:rPr>
        <w:rFonts w:hint="default" w:ascii="Symbol" w:hAnsi="Symbol"/>
      </w:rPr>
    </w:lvl>
    <w:lvl w:ilvl="4" w:tplc="04090003" w:tentative="1">
      <w:start w:val="1"/>
      <w:numFmt w:val="bullet"/>
      <w:lvlText w:val="o"/>
      <w:lvlJc w:val="left"/>
      <w:pPr>
        <w:ind w:left="4460" w:hanging="360"/>
      </w:pPr>
      <w:rPr>
        <w:rFonts w:hint="default" w:ascii="Courier New" w:hAnsi="Courier New" w:cs="Courier New"/>
      </w:rPr>
    </w:lvl>
    <w:lvl w:ilvl="5" w:tplc="04090005" w:tentative="1">
      <w:start w:val="1"/>
      <w:numFmt w:val="bullet"/>
      <w:lvlText w:val=""/>
      <w:lvlJc w:val="left"/>
      <w:pPr>
        <w:ind w:left="5180" w:hanging="360"/>
      </w:pPr>
      <w:rPr>
        <w:rFonts w:hint="default" w:ascii="Wingdings" w:hAnsi="Wingdings"/>
      </w:rPr>
    </w:lvl>
    <w:lvl w:ilvl="6" w:tplc="04090001" w:tentative="1">
      <w:start w:val="1"/>
      <w:numFmt w:val="bullet"/>
      <w:lvlText w:val=""/>
      <w:lvlJc w:val="left"/>
      <w:pPr>
        <w:ind w:left="5900" w:hanging="360"/>
      </w:pPr>
      <w:rPr>
        <w:rFonts w:hint="default" w:ascii="Symbol" w:hAnsi="Symbol"/>
      </w:rPr>
    </w:lvl>
    <w:lvl w:ilvl="7" w:tplc="04090003" w:tentative="1">
      <w:start w:val="1"/>
      <w:numFmt w:val="bullet"/>
      <w:lvlText w:val="o"/>
      <w:lvlJc w:val="left"/>
      <w:pPr>
        <w:ind w:left="6620" w:hanging="360"/>
      </w:pPr>
      <w:rPr>
        <w:rFonts w:hint="default" w:ascii="Courier New" w:hAnsi="Courier New" w:cs="Courier New"/>
      </w:rPr>
    </w:lvl>
    <w:lvl w:ilvl="8" w:tplc="04090005" w:tentative="1">
      <w:start w:val="1"/>
      <w:numFmt w:val="bullet"/>
      <w:lvlText w:val=""/>
      <w:lvlJc w:val="left"/>
      <w:pPr>
        <w:ind w:left="7340" w:hanging="360"/>
      </w:pPr>
      <w:rPr>
        <w:rFonts w:hint="default" w:ascii="Wingdings" w:hAnsi="Wingdings"/>
      </w:rPr>
    </w:lvl>
  </w:abstractNum>
  <w:abstractNum w:abstractNumId="24" w15:restartNumberingAfterBreak="0">
    <w:nsid w:val="3C611394"/>
    <w:multiLevelType w:val="hybridMultilevel"/>
    <w:tmpl w:val="B2FC14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11B7131"/>
    <w:multiLevelType w:val="hybridMultilevel"/>
    <w:tmpl w:val="6CBE1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1F100A0"/>
    <w:multiLevelType w:val="hybridMultilevel"/>
    <w:tmpl w:val="46BE4C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0A4628"/>
    <w:multiLevelType w:val="hybridMultilevel"/>
    <w:tmpl w:val="705022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992F4E"/>
    <w:multiLevelType w:val="hybridMultilevel"/>
    <w:tmpl w:val="16C83E74"/>
    <w:lvl w:ilvl="0" w:tplc="332A394A">
      <w:start w:val="1"/>
      <w:numFmt w:val="bullet"/>
      <w:lvlText w:val="•"/>
      <w:lvlJc w:val="left"/>
      <w:pPr>
        <w:ind w:left="7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8BEA5D0">
      <w:start w:val="1"/>
      <w:numFmt w:val="bullet"/>
      <w:lvlText w:val="o"/>
      <w:lvlJc w:val="left"/>
      <w:pPr>
        <w:ind w:left="14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93631A4">
      <w:start w:val="1"/>
      <w:numFmt w:val="bullet"/>
      <w:lvlText w:val="▪"/>
      <w:lvlJc w:val="left"/>
      <w:pPr>
        <w:ind w:left="21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CAF6C562">
      <w:start w:val="1"/>
      <w:numFmt w:val="bullet"/>
      <w:lvlText w:val="•"/>
      <w:lvlJc w:val="left"/>
      <w:pPr>
        <w:ind w:left="28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9747412">
      <w:start w:val="1"/>
      <w:numFmt w:val="bullet"/>
      <w:lvlText w:val="o"/>
      <w:lvlJc w:val="left"/>
      <w:pPr>
        <w:ind w:left="36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C941422">
      <w:start w:val="1"/>
      <w:numFmt w:val="bullet"/>
      <w:lvlText w:val="▪"/>
      <w:lvlJc w:val="left"/>
      <w:pPr>
        <w:ind w:left="43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1441640">
      <w:start w:val="1"/>
      <w:numFmt w:val="bullet"/>
      <w:lvlText w:val="•"/>
      <w:lvlJc w:val="left"/>
      <w:pPr>
        <w:ind w:left="50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DD4A968">
      <w:start w:val="1"/>
      <w:numFmt w:val="bullet"/>
      <w:lvlText w:val="o"/>
      <w:lvlJc w:val="left"/>
      <w:pPr>
        <w:ind w:left="57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8DA826A">
      <w:start w:val="1"/>
      <w:numFmt w:val="bullet"/>
      <w:lvlText w:val="▪"/>
      <w:lvlJc w:val="left"/>
      <w:pPr>
        <w:ind w:left="64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9" w15:restartNumberingAfterBreak="0">
    <w:nsid w:val="44A93BAD"/>
    <w:multiLevelType w:val="hybridMultilevel"/>
    <w:tmpl w:val="45DEC956"/>
    <w:lvl w:ilvl="0" w:tplc="97B8EF9C">
      <w:numFmt w:val="bullet"/>
      <w:lvlText w:val=""/>
      <w:lvlJc w:val="left"/>
      <w:pPr>
        <w:ind w:left="842" w:hanging="361"/>
      </w:pPr>
      <w:rPr>
        <w:rFonts w:hint="default" w:ascii="Symbol" w:hAnsi="Symbol" w:eastAsia="Symbol" w:cs="Symbol"/>
        <w:w w:val="102"/>
        <w:sz w:val="22"/>
        <w:szCs w:val="22"/>
        <w:lang w:val="en-US" w:eastAsia="en-US" w:bidi="ar-SA"/>
      </w:rPr>
    </w:lvl>
    <w:lvl w:ilvl="1" w:tplc="BDF62272">
      <w:numFmt w:val="bullet"/>
      <w:lvlText w:val="•"/>
      <w:lvlJc w:val="left"/>
      <w:pPr>
        <w:ind w:left="1233" w:hanging="361"/>
      </w:pPr>
      <w:rPr>
        <w:rFonts w:hint="default"/>
        <w:lang w:val="en-US" w:eastAsia="en-US" w:bidi="ar-SA"/>
      </w:rPr>
    </w:lvl>
    <w:lvl w:ilvl="2" w:tplc="F1BC3AB0">
      <w:numFmt w:val="bullet"/>
      <w:lvlText w:val="•"/>
      <w:lvlJc w:val="left"/>
      <w:pPr>
        <w:ind w:left="1626" w:hanging="361"/>
      </w:pPr>
      <w:rPr>
        <w:rFonts w:hint="default"/>
        <w:lang w:val="en-US" w:eastAsia="en-US" w:bidi="ar-SA"/>
      </w:rPr>
    </w:lvl>
    <w:lvl w:ilvl="3" w:tplc="B9FA31EA">
      <w:numFmt w:val="bullet"/>
      <w:lvlText w:val="•"/>
      <w:lvlJc w:val="left"/>
      <w:pPr>
        <w:ind w:left="2019" w:hanging="361"/>
      </w:pPr>
      <w:rPr>
        <w:rFonts w:hint="default"/>
        <w:lang w:val="en-US" w:eastAsia="en-US" w:bidi="ar-SA"/>
      </w:rPr>
    </w:lvl>
    <w:lvl w:ilvl="4" w:tplc="4822916A">
      <w:numFmt w:val="bullet"/>
      <w:lvlText w:val="•"/>
      <w:lvlJc w:val="left"/>
      <w:pPr>
        <w:ind w:left="2412" w:hanging="361"/>
      </w:pPr>
      <w:rPr>
        <w:rFonts w:hint="default"/>
        <w:lang w:val="en-US" w:eastAsia="en-US" w:bidi="ar-SA"/>
      </w:rPr>
    </w:lvl>
    <w:lvl w:ilvl="5" w:tplc="1A44F94C">
      <w:numFmt w:val="bullet"/>
      <w:lvlText w:val="•"/>
      <w:lvlJc w:val="left"/>
      <w:pPr>
        <w:ind w:left="2806" w:hanging="361"/>
      </w:pPr>
      <w:rPr>
        <w:rFonts w:hint="default"/>
        <w:lang w:val="en-US" w:eastAsia="en-US" w:bidi="ar-SA"/>
      </w:rPr>
    </w:lvl>
    <w:lvl w:ilvl="6" w:tplc="6E58A2CC">
      <w:numFmt w:val="bullet"/>
      <w:lvlText w:val="•"/>
      <w:lvlJc w:val="left"/>
      <w:pPr>
        <w:ind w:left="3199" w:hanging="361"/>
      </w:pPr>
      <w:rPr>
        <w:rFonts w:hint="default"/>
        <w:lang w:val="en-US" w:eastAsia="en-US" w:bidi="ar-SA"/>
      </w:rPr>
    </w:lvl>
    <w:lvl w:ilvl="7" w:tplc="F79E2534">
      <w:numFmt w:val="bullet"/>
      <w:lvlText w:val="•"/>
      <w:lvlJc w:val="left"/>
      <w:pPr>
        <w:ind w:left="3592" w:hanging="361"/>
      </w:pPr>
      <w:rPr>
        <w:rFonts w:hint="default"/>
        <w:lang w:val="en-US" w:eastAsia="en-US" w:bidi="ar-SA"/>
      </w:rPr>
    </w:lvl>
    <w:lvl w:ilvl="8" w:tplc="C86EBE5A">
      <w:numFmt w:val="bullet"/>
      <w:lvlText w:val="•"/>
      <w:lvlJc w:val="left"/>
      <w:pPr>
        <w:ind w:left="3985" w:hanging="361"/>
      </w:pPr>
      <w:rPr>
        <w:rFonts w:hint="default"/>
        <w:lang w:val="en-US" w:eastAsia="en-US" w:bidi="ar-SA"/>
      </w:rPr>
    </w:lvl>
  </w:abstractNum>
  <w:abstractNum w:abstractNumId="30" w15:restartNumberingAfterBreak="0">
    <w:nsid w:val="47E146F4"/>
    <w:multiLevelType w:val="hybridMultilevel"/>
    <w:tmpl w:val="7AF822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88C5BEE"/>
    <w:multiLevelType w:val="hybridMultilevel"/>
    <w:tmpl w:val="E86E7002"/>
    <w:lvl w:ilvl="0" w:tplc="5B9CDCF0">
      <w:start w:val="1"/>
      <w:numFmt w:val="bullet"/>
      <w:lvlText w:val="•"/>
      <w:lvlJc w:val="left"/>
      <w:pPr>
        <w:ind w:left="7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3888166">
      <w:start w:val="1"/>
      <w:numFmt w:val="bullet"/>
      <w:lvlText w:val="o"/>
      <w:lvlJc w:val="left"/>
      <w:pPr>
        <w:ind w:left="14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106C228">
      <w:start w:val="1"/>
      <w:numFmt w:val="bullet"/>
      <w:lvlText w:val="▪"/>
      <w:lvlJc w:val="left"/>
      <w:pPr>
        <w:ind w:left="21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1D08C9E">
      <w:start w:val="1"/>
      <w:numFmt w:val="bullet"/>
      <w:lvlText w:val="•"/>
      <w:lvlJc w:val="left"/>
      <w:pPr>
        <w:ind w:left="28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77620D4">
      <w:start w:val="1"/>
      <w:numFmt w:val="bullet"/>
      <w:lvlText w:val="o"/>
      <w:lvlJc w:val="left"/>
      <w:pPr>
        <w:ind w:left="36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1466D32">
      <w:start w:val="1"/>
      <w:numFmt w:val="bullet"/>
      <w:lvlText w:val="▪"/>
      <w:lvlJc w:val="left"/>
      <w:pPr>
        <w:ind w:left="43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00EEB3E">
      <w:start w:val="1"/>
      <w:numFmt w:val="bullet"/>
      <w:lvlText w:val="•"/>
      <w:lvlJc w:val="left"/>
      <w:pPr>
        <w:ind w:left="50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556F3CE">
      <w:start w:val="1"/>
      <w:numFmt w:val="bullet"/>
      <w:lvlText w:val="o"/>
      <w:lvlJc w:val="left"/>
      <w:pPr>
        <w:ind w:left="57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70481E0">
      <w:start w:val="1"/>
      <w:numFmt w:val="bullet"/>
      <w:lvlText w:val="▪"/>
      <w:lvlJc w:val="left"/>
      <w:pPr>
        <w:ind w:left="64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2" w15:restartNumberingAfterBreak="0">
    <w:nsid w:val="492257FE"/>
    <w:multiLevelType w:val="hybridMultilevel"/>
    <w:tmpl w:val="3D58E28C"/>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3" w15:restartNumberingAfterBreak="0">
    <w:nsid w:val="4F88565B"/>
    <w:multiLevelType w:val="hybridMultilevel"/>
    <w:tmpl w:val="35DEEC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083747A"/>
    <w:multiLevelType w:val="hybridMultilevel"/>
    <w:tmpl w:val="85F203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2C0639F"/>
    <w:multiLevelType w:val="hybridMultilevel"/>
    <w:tmpl w:val="47FC10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4BF608F"/>
    <w:multiLevelType w:val="hybridMultilevel"/>
    <w:tmpl w:val="30268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5C10ADE"/>
    <w:multiLevelType w:val="hybridMultilevel"/>
    <w:tmpl w:val="37F88F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76D4130"/>
    <w:multiLevelType w:val="hybridMultilevel"/>
    <w:tmpl w:val="031A789E"/>
    <w:lvl w:ilvl="0" w:tplc="C0F4E498">
      <w:start w:val="1"/>
      <w:numFmt w:val="bullet"/>
      <w:lvlText w:val="•"/>
      <w:lvlJc w:val="left"/>
      <w:pPr>
        <w:ind w:left="7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D3A5FE6">
      <w:start w:val="1"/>
      <w:numFmt w:val="bullet"/>
      <w:lvlText w:val="o"/>
      <w:lvlJc w:val="left"/>
      <w:pPr>
        <w:ind w:left="14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A0A3E28">
      <w:start w:val="1"/>
      <w:numFmt w:val="bullet"/>
      <w:lvlText w:val="▪"/>
      <w:lvlJc w:val="left"/>
      <w:pPr>
        <w:ind w:left="21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9A496A8">
      <w:start w:val="1"/>
      <w:numFmt w:val="bullet"/>
      <w:lvlText w:val="•"/>
      <w:lvlJc w:val="left"/>
      <w:pPr>
        <w:ind w:left="28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2D8FE08">
      <w:start w:val="1"/>
      <w:numFmt w:val="bullet"/>
      <w:lvlText w:val="o"/>
      <w:lvlJc w:val="left"/>
      <w:pPr>
        <w:ind w:left="36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422C22CE">
      <w:start w:val="1"/>
      <w:numFmt w:val="bullet"/>
      <w:lvlText w:val="▪"/>
      <w:lvlJc w:val="left"/>
      <w:pPr>
        <w:ind w:left="43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85C6C48">
      <w:start w:val="1"/>
      <w:numFmt w:val="bullet"/>
      <w:lvlText w:val="•"/>
      <w:lvlJc w:val="left"/>
      <w:pPr>
        <w:ind w:left="50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4E82E28">
      <w:start w:val="1"/>
      <w:numFmt w:val="bullet"/>
      <w:lvlText w:val="o"/>
      <w:lvlJc w:val="left"/>
      <w:pPr>
        <w:ind w:left="57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C30B5DC">
      <w:start w:val="1"/>
      <w:numFmt w:val="bullet"/>
      <w:lvlText w:val="▪"/>
      <w:lvlJc w:val="left"/>
      <w:pPr>
        <w:ind w:left="64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9" w15:restartNumberingAfterBreak="0">
    <w:nsid w:val="591D0743"/>
    <w:multiLevelType w:val="hybridMultilevel"/>
    <w:tmpl w:val="A33A63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DBA6D34"/>
    <w:multiLevelType w:val="hybridMultilevel"/>
    <w:tmpl w:val="6E74C6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06000EF"/>
    <w:multiLevelType w:val="hybridMultilevel"/>
    <w:tmpl w:val="06C28E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2424D65"/>
    <w:multiLevelType w:val="hybridMultilevel"/>
    <w:tmpl w:val="AE2411A2"/>
    <w:lvl w:ilvl="0" w:tplc="C2EEDE18">
      <w:start w:val="1"/>
      <w:numFmt w:val="bullet"/>
      <w:lvlText w:val="•"/>
      <w:lvlJc w:val="left"/>
      <w:pPr>
        <w:ind w:left="7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9A0B84C">
      <w:start w:val="1"/>
      <w:numFmt w:val="bullet"/>
      <w:lvlText w:val="o"/>
      <w:lvlJc w:val="left"/>
      <w:pPr>
        <w:ind w:left="14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7083430">
      <w:start w:val="1"/>
      <w:numFmt w:val="bullet"/>
      <w:lvlText w:val="▪"/>
      <w:lvlJc w:val="left"/>
      <w:pPr>
        <w:ind w:left="21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A5E24D5C">
      <w:start w:val="1"/>
      <w:numFmt w:val="bullet"/>
      <w:lvlText w:val="•"/>
      <w:lvlJc w:val="left"/>
      <w:pPr>
        <w:ind w:left="28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B6A10AA">
      <w:start w:val="1"/>
      <w:numFmt w:val="bullet"/>
      <w:lvlText w:val="o"/>
      <w:lvlJc w:val="left"/>
      <w:pPr>
        <w:ind w:left="36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CE0AFEB4">
      <w:start w:val="1"/>
      <w:numFmt w:val="bullet"/>
      <w:lvlText w:val="▪"/>
      <w:lvlJc w:val="left"/>
      <w:pPr>
        <w:ind w:left="43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DE50267A">
      <w:start w:val="1"/>
      <w:numFmt w:val="bullet"/>
      <w:lvlText w:val="•"/>
      <w:lvlJc w:val="left"/>
      <w:pPr>
        <w:ind w:left="50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4FA2FCE">
      <w:start w:val="1"/>
      <w:numFmt w:val="bullet"/>
      <w:lvlText w:val="o"/>
      <w:lvlJc w:val="left"/>
      <w:pPr>
        <w:ind w:left="57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B7EB4E6">
      <w:start w:val="1"/>
      <w:numFmt w:val="bullet"/>
      <w:lvlText w:val="▪"/>
      <w:lvlJc w:val="left"/>
      <w:pPr>
        <w:ind w:left="64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3" w15:restartNumberingAfterBreak="0">
    <w:nsid w:val="63F75303"/>
    <w:multiLevelType w:val="hybridMultilevel"/>
    <w:tmpl w:val="E4F6344C"/>
    <w:lvl w:ilvl="0" w:tplc="04090001">
      <w:start w:val="1"/>
      <w:numFmt w:val="bullet"/>
      <w:lvlText w:val=""/>
      <w:lvlJc w:val="left"/>
      <w:pPr>
        <w:ind w:left="1899" w:hanging="360"/>
      </w:pPr>
      <w:rPr>
        <w:rFonts w:hint="default" w:ascii="Symbol" w:hAnsi="Symbol"/>
      </w:rPr>
    </w:lvl>
    <w:lvl w:ilvl="1" w:tplc="04090003" w:tentative="1">
      <w:start w:val="1"/>
      <w:numFmt w:val="bullet"/>
      <w:lvlText w:val="o"/>
      <w:lvlJc w:val="left"/>
      <w:pPr>
        <w:ind w:left="2619" w:hanging="360"/>
      </w:pPr>
      <w:rPr>
        <w:rFonts w:hint="default" w:ascii="Courier New" w:hAnsi="Courier New" w:cs="Courier New"/>
      </w:rPr>
    </w:lvl>
    <w:lvl w:ilvl="2" w:tplc="04090005" w:tentative="1">
      <w:start w:val="1"/>
      <w:numFmt w:val="bullet"/>
      <w:lvlText w:val=""/>
      <w:lvlJc w:val="left"/>
      <w:pPr>
        <w:ind w:left="3339" w:hanging="360"/>
      </w:pPr>
      <w:rPr>
        <w:rFonts w:hint="default" w:ascii="Wingdings" w:hAnsi="Wingdings"/>
      </w:rPr>
    </w:lvl>
    <w:lvl w:ilvl="3" w:tplc="04090001" w:tentative="1">
      <w:start w:val="1"/>
      <w:numFmt w:val="bullet"/>
      <w:lvlText w:val=""/>
      <w:lvlJc w:val="left"/>
      <w:pPr>
        <w:ind w:left="4059" w:hanging="360"/>
      </w:pPr>
      <w:rPr>
        <w:rFonts w:hint="default" w:ascii="Symbol" w:hAnsi="Symbol"/>
      </w:rPr>
    </w:lvl>
    <w:lvl w:ilvl="4" w:tplc="04090003" w:tentative="1">
      <w:start w:val="1"/>
      <w:numFmt w:val="bullet"/>
      <w:lvlText w:val="o"/>
      <w:lvlJc w:val="left"/>
      <w:pPr>
        <w:ind w:left="4779" w:hanging="360"/>
      </w:pPr>
      <w:rPr>
        <w:rFonts w:hint="default" w:ascii="Courier New" w:hAnsi="Courier New" w:cs="Courier New"/>
      </w:rPr>
    </w:lvl>
    <w:lvl w:ilvl="5" w:tplc="04090005" w:tentative="1">
      <w:start w:val="1"/>
      <w:numFmt w:val="bullet"/>
      <w:lvlText w:val=""/>
      <w:lvlJc w:val="left"/>
      <w:pPr>
        <w:ind w:left="5499" w:hanging="360"/>
      </w:pPr>
      <w:rPr>
        <w:rFonts w:hint="default" w:ascii="Wingdings" w:hAnsi="Wingdings"/>
      </w:rPr>
    </w:lvl>
    <w:lvl w:ilvl="6" w:tplc="04090001" w:tentative="1">
      <w:start w:val="1"/>
      <w:numFmt w:val="bullet"/>
      <w:lvlText w:val=""/>
      <w:lvlJc w:val="left"/>
      <w:pPr>
        <w:ind w:left="6219" w:hanging="360"/>
      </w:pPr>
      <w:rPr>
        <w:rFonts w:hint="default" w:ascii="Symbol" w:hAnsi="Symbol"/>
      </w:rPr>
    </w:lvl>
    <w:lvl w:ilvl="7" w:tplc="04090003" w:tentative="1">
      <w:start w:val="1"/>
      <w:numFmt w:val="bullet"/>
      <w:lvlText w:val="o"/>
      <w:lvlJc w:val="left"/>
      <w:pPr>
        <w:ind w:left="6939" w:hanging="360"/>
      </w:pPr>
      <w:rPr>
        <w:rFonts w:hint="default" w:ascii="Courier New" w:hAnsi="Courier New" w:cs="Courier New"/>
      </w:rPr>
    </w:lvl>
    <w:lvl w:ilvl="8" w:tplc="04090005" w:tentative="1">
      <w:start w:val="1"/>
      <w:numFmt w:val="bullet"/>
      <w:lvlText w:val=""/>
      <w:lvlJc w:val="left"/>
      <w:pPr>
        <w:ind w:left="7659" w:hanging="360"/>
      </w:pPr>
      <w:rPr>
        <w:rFonts w:hint="default" w:ascii="Wingdings" w:hAnsi="Wingdings"/>
      </w:rPr>
    </w:lvl>
  </w:abstractNum>
  <w:abstractNum w:abstractNumId="44" w15:restartNumberingAfterBreak="0">
    <w:nsid w:val="64527C20"/>
    <w:multiLevelType w:val="hybridMultilevel"/>
    <w:tmpl w:val="6D7E098E"/>
    <w:lvl w:ilvl="0" w:tplc="E332A6AC">
      <w:start w:val="5"/>
      <w:numFmt w:val="decimal"/>
      <w:lvlText w:val="%1."/>
      <w:lvlJc w:val="left"/>
      <w:pPr>
        <w:ind w:left="72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E9A085A">
      <w:start w:val="1"/>
      <w:numFmt w:val="lowerLetter"/>
      <w:lvlText w:val="%2"/>
      <w:lvlJc w:val="left"/>
      <w:pPr>
        <w:ind w:left="14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940D5EA">
      <w:start w:val="1"/>
      <w:numFmt w:val="lowerRoman"/>
      <w:lvlText w:val="%3"/>
      <w:lvlJc w:val="left"/>
      <w:pPr>
        <w:ind w:left="216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5ACAC1E">
      <w:start w:val="1"/>
      <w:numFmt w:val="decimal"/>
      <w:lvlText w:val="%4"/>
      <w:lvlJc w:val="left"/>
      <w:pPr>
        <w:ind w:left="28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82E0BD4">
      <w:start w:val="1"/>
      <w:numFmt w:val="lowerLetter"/>
      <w:lvlText w:val="%5"/>
      <w:lvlJc w:val="left"/>
      <w:pPr>
        <w:ind w:left="360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08DAF2C6">
      <w:start w:val="1"/>
      <w:numFmt w:val="lowerRoman"/>
      <w:lvlText w:val="%6"/>
      <w:lvlJc w:val="left"/>
      <w:pPr>
        <w:ind w:left="432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1E0E228">
      <w:start w:val="1"/>
      <w:numFmt w:val="decimal"/>
      <w:lvlText w:val="%7"/>
      <w:lvlJc w:val="left"/>
      <w:pPr>
        <w:ind w:left="504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B425D4C">
      <w:start w:val="1"/>
      <w:numFmt w:val="lowerLetter"/>
      <w:lvlText w:val="%8"/>
      <w:lvlJc w:val="left"/>
      <w:pPr>
        <w:ind w:left="576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11EC8BE">
      <w:start w:val="1"/>
      <w:numFmt w:val="lowerRoman"/>
      <w:lvlText w:val="%9"/>
      <w:lvlJc w:val="left"/>
      <w:pPr>
        <w:ind w:left="648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5" w15:restartNumberingAfterBreak="0">
    <w:nsid w:val="65332AA5"/>
    <w:multiLevelType w:val="hybridMultilevel"/>
    <w:tmpl w:val="4E3CE7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5EC4AD8"/>
    <w:multiLevelType w:val="hybridMultilevel"/>
    <w:tmpl w:val="191A64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61C1591"/>
    <w:multiLevelType w:val="hybridMultilevel"/>
    <w:tmpl w:val="146854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672D7611"/>
    <w:multiLevelType w:val="hybridMultilevel"/>
    <w:tmpl w:val="877E6780"/>
    <w:lvl w:ilvl="0" w:tplc="0A3C1B04">
      <w:start w:val="1"/>
      <w:numFmt w:val="bullet"/>
      <w:lvlText w:val="•"/>
      <w:lvlJc w:val="left"/>
      <w:pPr>
        <w:ind w:left="7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ED8C394">
      <w:start w:val="1"/>
      <w:numFmt w:val="bullet"/>
      <w:lvlText w:val="o"/>
      <w:lvlJc w:val="left"/>
      <w:pPr>
        <w:ind w:left="14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95A9260">
      <w:start w:val="1"/>
      <w:numFmt w:val="bullet"/>
      <w:lvlText w:val="▪"/>
      <w:lvlJc w:val="left"/>
      <w:pPr>
        <w:ind w:left="21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CF7087CC">
      <w:start w:val="1"/>
      <w:numFmt w:val="bullet"/>
      <w:lvlText w:val="•"/>
      <w:lvlJc w:val="left"/>
      <w:pPr>
        <w:ind w:left="28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C888938">
      <w:start w:val="1"/>
      <w:numFmt w:val="bullet"/>
      <w:lvlText w:val="o"/>
      <w:lvlJc w:val="left"/>
      <w:pPr>
        <w:ind w:left="36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BB4E9D4">
      <w:start w:val="1"/>
      <w:numFmt w:val="bullet"/>
      <w:lvlText w:val="▪"/>
      <w:lvlJc w:val="left"/>
      <w:pPr>
        <w:ind w:left="43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A942524">
      <w:start w:val="1"/>
      <w:numFmt w:val="bullet"/>
      <w:lvlText w:val="•"/>
      <w:lvlJc w:val="left"/>
      <w:pPr>
        <w:ind w:left="50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A740244">
      <w:start w:val="1"/>
      <w:numFmt w:val="bullet"/>
      <w:lvlText w:val="o"/>
      <w:lvlJc w:val="left"/>
      <w:pPr>
        <w:ind w:left="57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25C4B82">
      <w:start w:val="1"/>
      <w:numFmt w:val="bullet"/>
      <w:lvlText w:val="▪"/>
      <w:lvlJc w:val="left"/>
      <w:pPr>
        <w:ind w:left="64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9" w15:restartNumberingAfterBreak="0">
    <w:nsid w:val="76C9555F"/>
    <w:multiLevelType w:val="hybridMultilevel"/>
    <w:tmpl w:val="AD66BE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A684642"/>
    <w:multiLevelType w:val="hybridMultilevel"/>
    <w:tmpl w:val="4AC86A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7CEA613C"/>
    <w:multiLevelType w:val="hybridMultilevel"/>
    <w:tmpl w:val="FA96E2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95281478">
    <w:abstractNumId w:val="2"/>
  </w:num>
  <w:num w:numId="2" w16cid:durableId="704673917">
    <w:abstractNumId w:val="21"/>
  </w:num>
  <w:num w:numId="3" w16cid:durableId="2098793398">
    <w:abstractNumId w:val="6"/>
  </w:num>
  <w:num w:numId="4" w16cid:durableId="562299159">
    <w:abstractNumId w:val="29"/>
  </w:num>
  <w:num w:numId="5" w16cid:durableId="2134516659">
    <w:abstractNumId w:val="10"/>
  </w:num>
  <w:num w:numId="6" w16cid:durableId="1067535420">
    <w:abstractNumId w:val="14"/>
  </w:num>
  <w:num w:numId="7" w16cid:durableId="854732044">
    <w:abstractNumId w:val="8"/>
  </w:num>
  <w:num w:numId="8" w16cid:durableId="1503543877">
    <w:abstractNumId w:val="34"/>
  </w:num>
  <w:num w:numId="9" w16cid:durableId="460224839">
    <w:abstractNumId w:val="39"/>
  </w:num>
  <w:num w:numId="10" w16cid:durableId="1748652877">
    <w:abstractNumId w:val="5"/>
  </w:num>
  <w:num w:numId="11" w16cid:durableId="1789395736">
    <w:abstractNumId w:val="24"/>
  </w:num>
  <w:num w:numId="12" w16cid:durableId="1844856389">
    <w:abstractNumId w:val="12"/>
  </w:num>
  <w:num w:numId="13" w16cid:durableId="2010332755">
    <w:abstractNumId w:val="0"/>
  </w:num>
  <w:num w:numId="14" w16cid:durableId="1244220368">
    <w:abstractNumId w:val="46"/>
  </w:num>
  <w:num w:numId="15" w16cid:durableId="732200919">
    <w:abstractNumId w:val="15"/>
  </w:num>
  <w:num w:numId="16" w16cid:durableId="825508301">
    <w:abstractNumId w:val="1"/>
  </w:num>
  <w:num w:numId="17" w16cid:durableId="576552725">
    <w:abstractNumId w:val="25"/>
  </w:num>
  <w:num w:numId="18" w16cid:durableId="221642769">
    <w:abstractNumId w:val="37"/>
  </w:num>
  <w:num w:numId="19" w16cid:durableId="843394582">
    <w:abstractNumId w:val="22"/>
  </w:num>
  <w:num w:numId="20" w16cid:durableId="835219513">
    <w:abstractNumId w:val="47"/>
  </w:num>
  <w:num w:numId="21" w16cid:durableId="405029037">
    <w:abstractNumId w:val="49"/>
  </w:num>
  <w:num w:numId="22" w16cid:durableId="1553035252">
    <w:abstractNumId w:val="36"/>
  </w:num>
  <w:num w:numId="23" w16cid:durableId="568073594">
    <w:abstractNumId w:val="4"/>
  </w:num>
  <w:num w:numId="24" w16cid:durableId="1975475949">
    <w:abstractNumId w:val="35"/>
  </w:num>
  <w:num w:numId="25" w16cid:durableId="1644307505">
    <w:abstractNumId w:val="9"/>
  </w:num>
  <w:num w:numId="26" w16cid:durableId="862133516">
    <w:abstractNumId w:val="45"/>
  </w:num>
  <w:num w:numId="27" w16cid:durableId="2126656275">
    <w:abstractNumId w:val="16"/>
  </w:num>
  <w:num w:numId="28" w16cid:durableId="187566327">
    <w:abstractNumId w:val="41"/>
  </w:num>
  <w:num w:numId="29" w16cid:durableId="351415937">
    <w:abstractNumId w:val="23"/>
  </w:num>
  <w:num w:numId="30" w16cid:durableId="883637074">
    <w:abstractNumId w:val="43"/>
  </w:num>
  <w:num w:numId="31" w16cid:durableId="1897037088">
    <w:abstractNumId w:val="27"/>
  </w:num>
  <w:num w:numId="32" w16cid:durableId="274295243">
    <w:abstractNumId w:val="26"/>
  </w:num>
  <w:num w:numId="33" w16cid:durableId="1517621918">
    <w:abstractNumId w:val="40"/>
  </w:num>
  <w:num w:numId="34" w16cid:durableId="2011638373">
    <w:abstractNumId w:val="11"/>
  </w:num>
  <w:num w:numId="35" w16cid:durableId="765350308">
    <w:abstractNumId w:val="50"/>
  </w:num>
  <w:num w:numId="36" w16cid:durableId="1014184967">
    <w:abstractNumId w:val="18"/>
  </w:num>
  <w:num w:numId="37" w16cid:durableId="381635588">
    <w:abstractNumId w:val="30"/>
  </w:num>
  <w:num w:numId="38" w16cid:durableId="168495076">
    <w:abstractNumId w:val="33"/>
  </w:num>
  <w:num w:numId="39" w16cid:durableId="1867980581">
    <w:abstractNumId w:val="51"/>
  </w:num>
  <w:num w:numId="40" w16cid:durableId="281812747">
    <w:abstractNumId w:val="7"/>
  </w:num>
  <w:num w:numId="41" w16cid:durableId="790903317">
    <w:abstractNumId w:val="20"/>
  </w:num>
  <w:num w:numId="42" w16cid:durableId="1501001008">
    <w:abstractNumId w:val="13"/>
  </w:num>
  <w:num w:numId="43" w16cid:durableId="828517261">
    <w:abstractNumId w:val="48"/>
  </w:num>
  <w:num w:numId="44" w16cid:durableId="160045598">
    <w:abstractNumId w:val="17"/>
  </w:num>
  <w:num w:numId="45" w16cid:durableId="851990670">
    <w:abstractNumId w:val="42"/>
  </w:num>
  <w:num w:numId="46" w16cid:durableId="441726473">
    <w:abstractNumId w:val="31"/>
  </w:num>
  <w:num w:numId="47" w16cid:durableId="663431673">
    <w:abstractNumId w:val="3"/>
  </w:num>
  <w:num w:numId="48" w16cid:durableId="1647540893">
    <w:abstractNumId w:val="28"/>
  </w:num>
  <w:num w:numId="49" w16cid:durableId="906183997">
    <w:abstractNumId w:val="38"/>
  </w:num>
  <w:num w:numId="50" w16cid:durableId="2140876898">
    <w:abstractNumId w:val="19"/>
  </w:num>
  <w:num w:numId="51" w16cid:durableId="1444810176">
    <w:abstractNumId w:val="44"/>
  </w:num>
  <w:num w:numId="52" w16cid:durableId="2005274753">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7E"/>
    <w:rsid w:val="00001AFD"/>
    <w:rsid w:val="00001F7C"/>
    <w:rsid w:val="00005D24"/>
    <w:rsid w:val="000069E1"/>
    <w:rsid w:val="00006BDE"/>
    <w:rsid w:val="00021D47"/>
    <w:rsid w:val="0002315D"/>
    <w:rsid w:val="00030536"/>
    <w:rsid w:val="000330EA"/>
    <w:rsid w:val="00034E08"/>
    <w:rsid w:val="000356ED"/>
    <w:rsid w:val="00036500"/>
    <w:rsid w:val="00041CAF"/>
    <w:rsid w:val="0004247E"/>
    <w:rsid w:val="00052BAD"/>
    <w:rsid w:val="0005390E"/>
    <w:rsid w:val="000562B4"/>
    <w:rsid w:val="000604FB"/>
    <w:rsid w:val="0006281B"/>
    <w:rsid w:val="00067FF9"/>
    <w:rsid w:val="00071311"/>
    <w:rsid w:val="00076054"/>
    <w:rsid w:val="00077D91"/>
    <w:rsid w:val="000812C8"/>
    <w:rsid w:val="000876BF"/>
    <w:rsid w:val="000904C9"/>
    <w:rsid w:val="00091791"/>
    <w:rsid w:val="00091A25"/>
    <w:rsid w:val="0009548C"/>
    <w:rsid w:val="00097860"/>
    <w:rsid w:val="000A3B78"/>
    <w:rsid w:val="000A474B"/>
    <w:rsid w:val="000A51A8"/>
    <w:rsid w:val="000A5683"/>
    <w:rsid w:val="000A7E0D"/>
    <w:rsid w:val="000B10FF"/>
    <w:rsid w:val="000C5FBB"/>
    <w:rsid w:val="000C76C4"/>
    <w:rsid w:val="000E3883"/>
    <w:rsid w:val="000E717C"/>
    <w:rsid w:val="000E76FE"/>
    <w:rsid w:val="000F3EE4"/>
    <w:rsid w:val="000F6A01"/>
    <w:rsid w:val="00100721"/>
    <w:rsid w:val="00100AF4"/>
    <w:rsid w:val="00103B5D"/>
    <w:rsid w:val="00106034"/>
    <w:rsid w:val="001073F6"/>
    <w:rsid w:val="001076AE"/>
    <w:rsid w:val="00110143"/>
    <w:rsid w:val="00112537"/>
    <w:rsid w:val="00114768"/>
    <w:rsid w:val="00122EA4"/>
    <w:rsid w:val="00130992"/>
    <w:rsid w:val="00132E11"/>
    <w:rsid w:val="00132FC7"/>
    <w:rsid w:val="001342B2"/>
    <w:rsid w:val="00140FD4"/>
    <w:rsid w:val="001430FF"/>
    <w:rsid w:val="00150FCC"/>
    <w:rsid w:val="00156216"/>
    <w:rsid w:val="00160F63"/>
    <w:rsid w:val="00170D3C"/>
    <w:rsid w:val="00172672"/>
    <w:rsid w:val="0018040F"/>
    <w:rsid w:val="001820BA"/>
    <w:rsid w:val="00183615"/>
    <w:rsid w:val="001848C5"/>
    <w:rsid w:val="00186420"/>
    <w:rsid w:val="00191320"/>
    <w:rsid w:val="00191609"/>
    <w:rsid w:val="00193B56"/>
    <w:rsid w:val="001940EC"/>
    <w:rsid w:val="001A0A3F"/>
    <w:rsid w:val="001A4495"/>
    <w:rsid w:val="001A5933"/>
    <w:rsid w:val="001B108C"/>
    <w:rsid w:val="001B3CC3"/>
    <w:rsid w:val="001B6DE3"/>
    <w:rsid w:val="001C1DE6"/>
    <w:rsid w:val="001D5486"/>
    <w:rsid w:val="001D69A9"/>
    <w:rsid w:val="001E42F7"/>
    <w:rsid w:val="001E75AD"/>
    <w:rsid w:val="001F13B9"/>
    <w:rsid w:val="001F4008"/>
    <w:rsid w:val="001F73B1"/>
    <w:rsid w:val="00202316"/>
    <w:rsid w:val="00203C64"/>
    <w:rsid w:val="002069D3"/>
    <w:rsid w:val="00206BD8"/>
    <w:rsid w:val="00210C8D"/>
    <w:rsid w:val="002125B2"/>
    <w:rsid w:val="00214611"/>
    <w:rsid w:val="002241AE"/>
    <w:rsid w:val="002250B5"/>
    <w:rsid w:val="00226B3E"/>
    <w:rsid w:val="00227613"/>
    <w:rsid w:val="002320A2"/>
    <w:rsid w:val="00234ADD"/>
    <w:rsid w:val="00241600"/>
    <w:rsid w:val="0025182F"/>
    <w:rsid w:val="00252683"/>
    <w:rsid w:val="00256BF8"/>
    <w:rsid w:val="00264A41"/>
    <w:rsid w:val="0026514A"/>
    <w:rsid w:val="00265467"/>
    <w:rsid w:val="002779C2"/>
    <w:rsid w:val="00280804"/>
    <w:rsid w:val="00282B83"/>
    <w:rsid w:val="0028572A"/>
    <w:rsid w:val="00286748"/>
    <w:rsid w:val="0028783B"/>
    <w:rsid w:val="0029334C"/>
    <w:rsid w:val="002A1071"/>
    <w:rsid w:val="002A2D92"/>
    <w:rsid w:val="002A3800"/>
    <w:rsid w:val="002A4398"/>
    <w:rsid w:val="002C04F1"/>
    <w:rsid w:val="002D3320"/>
    <w:rsid w:val="002D4A72"/>
    <w:rsid w:val="002E2547"/>
    <w:rsid w:val="002F2F07"/>
    <w:rsid w:val="002F39B1"/>
    <w:rsid w:val="002F4A2D"/>
    <w:rsid w:val="002F6C53"/>
    <w:rsid w:val="003067BC"/>
    <w:rsid w:val="0030735E"/>
    <w:rsid w:val="003116B5"/>
    <w:rsid w:val="003153A4"/>
    <w:rsid w:val="003161BF"/>
    <w:rsid w:val="00317B48"/>
    <w:rsid w:val="00322523"/>
    <w:rsid w:val="00330DD0"/>
    <w:rsid w:val="00335DC7"/>
    <w:rsid w:val="00341882"/>
    <w:rsid w:val="00345AA4"/>
    <w:rsid w:val="003539F0"/>
    <w:rsid w:val="003708DE"/>
    <w:rsid w:val="00374DD8"/>
    <w:rsid w:val="0038475E"/>
    <w:rsid w:val="003858B7"/>
    <w:rsid w:val="00393F1A"/>
    <w:rsid w:val="003A1BD0"/>
    <w:rsid w:val="003A63F2"/>
    <w:rsid w:val="003A7997"/>
    <w:rsid w:val="003B2FE0"/>
    <w:rsid w:val="003B625F"/>
    <w:rsid w:val="003C4E1C"/>
    <w:rsid w:val="003C7B8C"/>
    <w:rsid w:val="003D3CD1"/>
    <w:rsid w:val="003D5D00"/>
    <w:rsid w:val="003D5F56"/>
    <w:rsid w:val="003E2CB0"/>
    <w:rsid w:val="003E4470"/>
    <w:rsid w:val="003E44B5"/>
    <w:rsid w:val="003E528B"/>
    <w:rsid w:val="003E6FB6"/>
    <w:rsid w:val="003E73C7"/>
    <w:rsid w:val="003F20E0"/>
    <w:rsid w:val="003F2E78"/>
    <w:rsid w:val="00404125"/>
    <w:rsid w:val="0040599C"/>
    <w:rsid w:val="004071C8"/>
    <w:rsid w:val="0041438E"/>
    <w:rsid w:val="00434768"/>
    <w:rsid w:val="0045477B"/>
    <w:rsid w:val="004618F1"/>
    <w:rsid w:val="004627DF"/>
    <w:rsid w:val="00472B79"/>
    <w:rsid w:val="004746B0"/>
    <w:rsid w:val="00487462"/>
    <w:rsid w:val="004904BA"/>
    <w:rsid w:val="00490E83"/>
    <w:rsid w:val="00491989"/>
    <w:rsid w:val="004970E5"/>
    <w:rsid w:val="004A6319"/>
    <w:rsid w:val="004B37AA"/>
    <w:rsid w:val="004B3FE0"/>
    <w:rsid w:val="004B5D60"/>
    <w:rsid w:val="004C21F5"/>
    <w:rsid w:val="004C4CF0"/>
    <w:rsid w:val="004D1E38"/>
    <w:rsid w:val="004D739C"/>
    <w:rsid w:val="004E217C"/>
    <w:rsid w:val="004E5BBC"/>
    <w:rsid w:val="004F0B18"/>
    <w:rsid w:val="004F2509"/>
    <w:rsid w:val="004F351B"/>
    <w:rsid w:val="004F7175"/>
    <w:rsid w:val="00507906"/>
    <w:rsid w:val="00530076"/>
    <w:rsid w:val="005303E9"/>
    <w:rsid w:val="00535662"/>
    <w:rsid w:val="005408DE"/>
    <w:rsid w:val="00540C84"/>
    <w:rsid w:val="00546F5E"/>
    <w:rsid w:val="00550657"/>
    <w:rsid w:val="005507EE"/>
    <w:rsid w:val="00552DAC"/>
    <w:rsid w:val="00556D48"/>
    <w:rsid w:val="005621DA"/>
    <w:rsid w:val="00562862"/>
    <w:rsid w:val="00567C0E"/>
    <w:rsid w:val="00573FB6"/>
    <w:rsid w:val="00577587"/>
    <w:rsid w:val="005841A2"/>
    <w:rsid w:val="00595AE0"/>
    <w:rsid w:val="005B2618"/>
    <w:rsid w:val="005B5104"/>
    <w:rsid w:val="005C5AE5"/>
    <w:rsid w:val="005C6012"/>
    <w:rsid w:val="005C7BD0"/>
    <w:rsid w:val="005E3C7A"/>
    <w:rsid w:val="005E6B42"/>
    <w:rsid w:val="005E6F07"/>
    <w:rsid w:val="005E7C80"/>
    <w:rsid w:val="005F18AB"/>
    <w:rsid w:val="00600210"/>
    <w:rsid w:val="00605348"/>
    <w:rsid w:val="0062184A"/>
    <w:rsid w:val="0062449F"/>
    <w:rsid w:val="00632E53"/>
    <w:rsid w:val="00634B1A"/>
    <w:rsid w:val="00635025"/>
    <w:rsid w:val="00637FF0"/>
    <w:rsid w:val="00641A2A"/>
    <w:rsid w:val="00644EDE"/>
    <w:rsid w:val="006467E3"/>
    <w:rsid w:val="00647A15"/>
    <w:rsid w:val="006501A5"/>
    <w:rsid w:val="0065205A"/>
    <w:rsid w:val="00661F1D"/>
    <w:rsid w:val="00664811"/>
    <w:rsid w:val="00665E96"/>
    <w:rsid w:val="00675409"/>
    <w:rsid w:val="00677122"/>
    <w:rsid w:val="0068413A"/>
    <w:rsid w:val="00690B5D"/>
    <w:rsid w:val="0069501B"/>
    <w:rsid w:val="006A08E1"/>
    <w:rsid w:val="006A360F"/>
    <w:rsid w:val="006A3728"/>
    <w:rsid w:val="006A376B"/>
    <w:rsid w:val="006B5EBF"/>
    <w:rsid w:val="006B60B4"/>
    <w:rsid w:val="006C1546"/>
    <w:rsid w:val="006D581E"/>
    <w:rsid w:val="006D6734"/>
    <w:rsid w:val="006E10AA"/>
    <w:rsid w:val="006E44B7"/>
    <w:rsid w:val="006E5C51"/>
    <w:rsid w:val="006E5D68"/>
    <w:rsid w:val="006E5D8F"/>
    <w:rsid w:val="006E669A"/>
    <w:rsid w:val="006F05BB"/>
    <w:rsid w:val="006F12C6"/>
    <w:rsid w:val="006F30AC"/>
    <w:rsid w:val="006F536C"/>
    <w:rsid w:val="006F6811"/>
    <w:rsid w:val="00705B2D"/>
    <w:rsid w:val="00711CEA"/>
    <w:rsid w:val="00721CAB"/>
    <w:rsid w:val="0072277C"/>
    <w:rsid w:val="007417FF"/>
    <w:rsid w:val="007420E0"/>
    <w:rsid w:val="007432A0"/>
    <w:rsid w:val="00756E89"/>
    <w:rsid w:val="00761A63"/>
    <w:rsid w:val="00766E2C"/>
    <w:rsid w:val="00770725"/>
    <w:rsid w:val="00783351"/>
    <w:rsid w:val="0078399F"/>
    <w:rsid w:val="00793BEF"/>
    <w:rsid w:val="00794A01"/>
    <w:rsid w:val="00795FE9"/>
    <w:rsid w:val="00797872"/>
    <w:rsid w:val="007A3AD0"/>
    <w:rsid w:val="007A74B1"/>
    <w:rsid w:val="007C32A3"/>
    <w:rsid w:val="007C5D20"/>
    <w:rsid w:val="007D532D"/>
    <w:rsid w:val="007F707D"/>
    <w:rsid w:val="00803286"/>
    <w:rsid w:val="00806470"/>
    <w:rsid w:val="00811579"/>
    <w:rsid w:val="00821603"/>
    <w:rsid w:val="00825D41"/>
    <w:rsid w:val="00844622"/>
    <w:rsid w:val="00851058"/>
    <w:rsid w:val="008537E8"/>
    <w:rsid w:val="00853BFF"/>
    <w:rsid w:val="00860A9F"/>
    <w:rsid w:val="00861485"/>
    <w:rsid w:val="00862A84"/>
    <w:rsid w:val="0086307B"/>
    <w:rsid w:val="0086444F"/>
    <w:rsid w:val="008712E1"/>
    <w:rsid w:val="00874EC8"/>
    <w:rsid w:val="00877D03"/>
    <w:rsid w:val="00877D5B"/>
    <w:rsid w:val="00896C07"/>
    <w:rsid w:val="008A1D9F"/>
    <w:rsid w:val="008A726B"/>
    <w:rsid w:val="008B1700"/>
    <w:rsid w:val="008B3CBC"/>
    <w:rsid w:val="008B5A97"/>
    <w:rsid w:val="008B733F"/>
    <w:rsid w:val="008C0E20"/>
    <w:rsid w:val="008C295B"/>
    <w:rsid w:val="008C5F52"/>
    <w:rsid w:val="008D208E"/>
    <w:rsid w:val="008D5168"/>
    <w:rsid w:val="008E2BA1"/>
    <w:rsid w:val="008F0C72"/>
    <w:rsid w:val="00905F03"/>
    <w:rsid w:val="009104AA"/>
    <w:rsid w:val="00916EA9"/>
    <w:rsid w:val="00931748"/>
    <w:rsid w:val="00933D70"/>
    <w:rsid w:val="00936565"/>
    <w:rsid w:val="0093766E"/>
    <w:rsid w:val="00942B10"/>
    <w:rsid w:val="00955646"/>
    <w:rsid w:val="0095675C"/>
    <w:rsid w:val="009567CA"/>
    <w:rsid w:val="00982054"/>
    <w:rsid w:val="00982B51"/>
    <w:rsid w:val="00984B49"/>
    <w:rsid w:val="00984F2D"/>
    <w:rsid w:val="00992A3A"/>
    <w:rsid w:val="00992B18"/>
    <w:rsid w:val="00996A31"/>
    <w:rsid w:val="009A5A6B"/>
    <w:rsid w:val="009A6E59"/>
    <w:rsid w:val="009A7357"/>
    <w:rsid w:val="009B0E0F"/>
    <w:rsid w:val="009B0E76"/>
    <w:rsid w:val="009B118D"/>
    <w:rsid w:val="009B5286"/>
    <w:rsid w:val="009B5D75"/>
    <w:rsid w:val="009C03E0"/>
    <w:rsid w:val="009C42A1"/>
    <w:rsid w:val="009C6D98"/>
    <w:rsid w:val="009D58A2"/>
    <w:rsid w:val="009E434E"/>
    <w:rsid w:val="009E57BA"/>
    <w:rsid w:val="009E701D"/>
    <w:rsid w:val="009F26BD"/>
    <w:rsid w:val="00A03CFE"/>
    <w:rsid w:val="00A048F1"/>
    <w:rsid w:val="00A15DE5"/>
    <w:rsid w:val="00A16A86"/>
    <w:rsid w:val="00A17D91"/>
    <w:rsid w:val="00A22106"/>
    <w:rsid w:val="00A277F4"/>
    <w:rsid w:val="00A41923"/>
    <w:rsid w:val="00A420F1"/>
    <w:rsid w:val="00A42783"/>
    <w:rsid w:val="00A46E5A"/>
    <w:rsid w:val="00A51132"/>
    <w:rsid w:val="00A5146E"/>
    <w:rsid w:val="00A5435A"/>
    <w:rsid w:val="00A54A06"/>
    <w:rsid w:val="00A55BFF"/>
    <w:rsid w:val="00A63505"/>
    <w:rsid w:val="00A67369"/>
    <w:rsid w:val="00A72739"/>
    <w:rsid w:val="00A764D5"/>
    <w:rsid w:val="00A765AF"/>
    <w:rsid w:val="00A773A9"/>
    <w:rsid w:val="00A830C9"/>
    <w:rsid w:val="00A926E0"/>
    <w:rsid w:val="00AA5DE6"/>
    <w:rsid w:val="00AB055D"/>
    <w:rsid w:val="00AB5F0F"/>
    <w:rsid w:val="00AC00B2"/>
    <w:rsid w:val="00AC4807"/>
    <w:rsid w:val="00AD2B55"/>
    <w:rsid w:val="00AD67BA"/>
    <w:rsid w:val="00AD7FEE"/>
    <w:rsid w:val="00AE152D"/>
    <w:rsid w:val="00AF0E14"/>
    <w:rsid w:val="00AF25F3"/>
    <w:rsid w:val="00B157DC"/>
    <w:rsid w:val="00B15C14"/>
    <w:rsid w:val="00B1755D"/>
    <w:rsid w:val="00B2019E"/>
    <w:rsid w:val="00B259C2"/>
    <w:rsid w:val="00B27B91"/>
    <w:rsid w:val="00B27EB1"/>
    <w:rsid w:val="00B3028E"/>
    <w:rsid w:val="00B3155C"/>
    <w:rsid w:val="00B33B99"/>
    <w:rsid w:val="00B40D65"/>
    <w:rsid w:val="00B51673"/>
    <w:rsid w:val="00B526CA"/>
    <w:rsid w:val="00B57E63"/>
    <w:rsid w:val="00B60B22"/>
    <w:rsid w:val="00B643E4"/>
    <w:rsid w:val="00B668DC"/>
    <w:rsid w:val="00B672EF"/>
    <w:rsid w:val="00B7570C"/>
    <w:rsid w:val="00B84B0A"/>
    <w:rsid w:val="00B95059"/>
    <w:rsid w:val="00B95C23"/>
    <w:rsid w:val="00B96E64"/>
    <w:rsid w:val="00B96EC4"/>
    <w:rsid w:val="00BA7851"/>
    <w:rsid w:val="00BB2A74"/>
    <w:rsid w:val="00BB2EAB"/>
    <w:rsid w:val="00BB5420"/>
    <w:rsid w:val="00BB5529"/>
    <w:rsid w:val="00BC78C7"/>
    <w:rsid w:val="00BD06B3"/>
    <w:rsid w:val="00BD129E"/>
    <w:rsid w:val="00BD31B3"/>
    <w:rsid w:val="00BD45D5"/>
    <w:rsid w:val="00BD5F68"/>
    <w:rsid w:val="00BD760A"/>
    <w:rsid w:val="00BE0CD3"/>
    <w:rsid w:val="00BE0E7F"/>
    <w:rsid w:val="00BE5D9E"/>
    <w:rsid w:val="00BF0D28"/>
    <w:rsid w:val="00BF293A"/>
    <w:rsid w:val="00BF2986"/>
    <w:rsid w:val="00BF393B"/>
    <w:rsid w:val="00BF6D84"/>
    <w:rsid w:val="00C03F54"/>
    <w:rsid w:val="00C078DE"/>
    <w:rsid w:val="00C128F4"/>
    <w:rsid w:val="00C13A87"/>
    <w:rsid w:val="00C173D7"/>
    <w:rsid w:val="00C22AD8"/>
    <w:rsid w:val="00C25FB6"/>
    <w:rsid w:val="00C34BFE"/>
    <w:rsid w:val="00C3528F"/>
    <w:rsid w:val="00C412F7"/>
    <w:rsid w:val="00C42386"/>
    <w:rsid w:val="00C438C8"/>
    <w:rsid w:val="00C56B62"/>
    <w:rsid w:val="00C664D0"/>
    <w:rsid w:val="00C77921"/>
    <w:rsid w:val="00C90221"/>
    <w:rsid w:val="00C96207"/>
    <w:rsid w:val="00CA13BF"/>
    <w:rsid w:val="00CA22AE"/>
    <w:rsid w:val="00CA43D6"/>
    <w:rsid w:val="00CB0027"/>
    <w:rsid w:val="00CB18AC"/>
    <w:rsid w:val="00CB1A3F"/>
    <w:rsid w:val="00CB4698"/>
    <w:rsid w:val="00CB7E23"/>
    <w:rsid w:val="00CE063E"/>
    <w:rsid w:val="00CF57BD"/>
    <w:rsid w:val="00D041E6"/>
    <w:rsid w:val="00D047ED"/>
    <w:rsid w:val="00D21785"/>
    <w:rsid w:val="00D21936"/>
    <w:rsid w:val="00D27D12"/>
    <w:rsid w:val="00D32C9D"/>
    <w:rsid w:val="00D33B09"/>
    <w:rsid w:val="00D33DE3"/>
    <w:rsid w:val="00D4323B"/>
    <w:rsid w:val="00D556F0"/>
    <w:rsid w:val="00D62D8A"/>
    <w:rsid w:val="00D67832"/>
    <w:rsid w:val="00D70226"/>
    <w:rsid w:val="00D7180D"/>
    <w:rsid w:val="00D732FB"/>
    <w:rsid w:val="00D7615C"/>
    <w:rsid w:val="00D76F96"/>
    <w:rsid w:val="00D871EA"/>
    <w:rsid w:val="00DA0D6D"/>
    <w:rsid w:val="00DA28E3"/>
    <w:rsid w:val="00DB62D7"/>
    <w:rsid w:val="00DD0A87"/>
    <w:rsid w:val="00DD5D48"/>
    <w:rsid w:val="00DE15F3"/>
    <w:rsid w:val="00DE6DFC"/>
    <w:rsid w:val="00DF526A"/>
    <w:rsid w:val="00DF644F"/>
    <w:rsid w:val="00E046C1"/>
    <w:rsid w:val="00E04C60"/>
    <w:rsid w:val="00E1234F"/>
    <w:rsid w:val="00E13464"/>
    <w:rsid w:val="00E15C95"/>
    <w:rsid w:val="00E16CDB"/>
    <w:rsid w:val="00E1712D"/>
    <w:rsid w:val="00E2044C"/>
    <w:rsid w:val="00E2352B"/>
    <w:rsid w:val="00E342BE"/>
    <w:rsid w:val="00E42F74"/>
    <w:rsid w:val="00E4599E"/>
    <w:rsid w:val="00E52A5C"/>
    <w:rsid w:val="00E66B6D"/>
    <w:rsid w:val="00E70C8B"/>
    <w:rsid w:val="00E7142B"/>
    <w:rsid w:val="00E71E5F"/>
    <w:rsid w:val="00E7212C"/>
    <w:rsid w:val="00E81492"/>
    <w:rsid w:val="00EA0954"/>
    <w:rsid w:val="00EA31F2"/>
    <w:rsid w:val="00EA33AA"/>
    <w:rsid w:val="00EA37F1"/>
    <w:rsid w:val="00EA5709"/>
    <w:rsid w:val="00EA5AA9"/>
    <w:rsid w:val="00EB1BAA"/>
    <w:rsid w:val="00EB1C44"/>
    <w:rsid w:val="00EB5A82"/>
    <w:rsid w:val="00EB7AB6"/>
    <w:rsid w:val="00EC16DA"/>
    <w:rsid w:val="00EC2B16"/>
    <w:rsid w:val="00EC6A80"/>
    <w:rsid w:val="00ED071D"/>
    <w:rsid w:val="00ED212F"/>
    <w:rsid w:val="00ED43E0"/>
    <w:rsid w:val="00EE422F"/>
    <w:rsid w:val="00EE52A7"/>
    <w:rsid w:val="00EE59E1"/>
    <w:rsid w:val="00F213BE"/>
    <w:rsid w:val="00F224C4"/>
    <w:rsid w:val="00F227E2"/>
    <w:rsid w:val="00F26950"/>
    <w:rsid w:val="00F26C98"/>
    <w:rsid w:val="00F3145E"/>
    <w:rsid w:val="00F42108"/>
    <w:rsid w:val="00F45900"/>
    <w:rsid w:val="00F45B99"/>
    <w:rsid w:val="00F45D6D"/>
    <w:rsid w:val="00F5231E"/>
    <w:rsid w:val="00F52C1F"/>
    <w:rsid w:val="00F56130"/>
    <w:rsid w:val="00F60777"/>
    <w:rsid w:val="00F7475F"/>
    <w:rsid w:val="00F75EA0"/>
    <w:rsid w:val="00F904A4"/>
    <w:rsid w:val="00FA1949"/>
    <w:rsid w:val="00FA2109"/>
    <w:rsid w:val="00FA2B99"/>
    <w:rsid w:val="00FA3A04"/>
    <w:rsid w:val="00FA3DC7"/>
    <w:rsid w:val="00FB203C"/>
    <w:rsid w:val="00FB2C3D"/>
    <w:rsid w:val="00FC65D9"/>
    <w:rsid w:val="00FC77F5"/>
    <w:rsid w:val="00FD4335"/>
    <w:rsid w:val="00FD4D9C"/>
    <w:rsid w:val="00FE1536"/>
    <w:rsid w:val="00FE197E"/>
    <w:rsid w:val="00FE3E36"/>
    <w:rsid w:val="00FE78B4"/>
    <w:rsid w:val="00FF0E65"/>
    <w:rsid w:val="00FF6040"/>
    <w:rsid w:val="00FF652B"/>
    <w:rsid w:val="01A37FB6"/>
    <w:rsid w:val="01B7E74B"/>
    <w:rsid w:val="02880F8D"/>
    <w:rsid w:val="03E63D41"/>
    <w:rsid w:val="0412D61C"/>
    <w:rsid w:val="07748C73"/>
    <w:rsid w:val="07FF58BE"/>
    <w:rsid w:val="0888CD5B"/>
    <w:rsid w:val="10BB48ED"/>
    <w:rsid w:val="18AF2BAE"/>
    <w:rsid w:val="1A2410F7"/>
    <w:rsid w:val="1AA028F0"/>
    <w:rsid w:val="1ACA3E85"/>
    <w:rsid w:val="1C3BF951"/>
    <w:rsid w:val="1EEDFB39"/>
    <w:rsid w:val="1FD5F00A"/>
    <w:rsid w:val="238DFD8D"/>
    <w:rsid w:val="2404FCFC"/>
    <w:rsid w:val="246B7D47"/>
    <w:rsid w:val="25F0D549"/>
    <w:rsid w:val="2822D55A"/>
    <w:rsid w:val="287F3242"/>
    <w:rsid w:val="2963127B"/>
    <w:rsid w:val="29FA6B5E"/>
    <w:rsid w:val="2BB355E4"/>
    <w:rsid w:val="36DDEE4A"/>
    <w:rsid w:val="3A6C61C0"/>
    <w:rsid w:val="3A7C64E1"/>
    <w:rsid w:val="3D25B9B6"/>
    <w:rsid w:val="3DB405A3"/>
    <w:rsid w:val="3E6A0BEB"/>
    <w:rsid w:val="3FE99459"/>
    <w:rsid w:val="436CFD00"/>
    <w:rsid w:val="439B7954"/>
    <w:rsid w:val="46FE6E9E"/>
    <w:rsid w:val="4D693C2E"/>
    <w:rsid w:val="5109B7B5"/>
    <w:rsid w:val="52CE9EAC"/>
    <w:rsid w:val="546D62A0"/>
    <w:rsid w:val="55B90CE6"/>
    <w:rsid w:val="56EEA6B4"/>
    <w:rsid w:val="579F5C9A"/>
    <w:rsid w:val="58B102EE"/>
    <w:rsid w:val="5E5FA035"/>
    <w:rsid w:val="62D3ED71"/>
    <w:rsid w:val="66C9D045"/>
    <w:rsid w:val="691F6A0D"/>
    <w:rsid w:val="692E3099"/>
    <w:rsid w:val="6A4EEDA4"/>
    <w:rsid w:val="6C4D3C5C"/>
    <w:rsid w:val="6DE1631D"/>
    <w:rsid w:val="7186475A"/>
    <w:rsid w:val="74384942"/>
    <w:rsid w:val="795E9055"/>
    <w:rsid w:val="7A123D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B18A7"/>
  <w15:docId w15:val="{1183BD7D-91C7-40A7-B5AC-057AB59D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438E"/>
    <w:pPr>
      <w:spacing w:after="120"/>
    </w:pPr>
    <w:rPr>
      <w:rFonts w:ascii="Times New Roman" w:hAnsi="Times New Roman" w:eastAsia="Arial" w:cs="Times New Roman"/>
      <w:sz w:val="24"/>
      <w:szCs w:val="24"/>
    </w:rPr>
  </w:style>
  <w:style w:type="paragraph" w:styleId="Heading1">
    <w:name w:val="heading 1"/>
    <w:aliases w:val="Section Title"/>
    <w:basedOn w:val="Normal"/>
    <w:qFormat/>
    <w:rsid w:val="009567CA"/>
    <w:pPr>
      <w:keepNext/>
      <w:widowControl/>
      <w:autoSpaceDE/>
      <w:autoSpaceDN/>
      <w:spacing w:after="240" w:line="276" w:lineRule="auto"/>
      <w:ind w:right="-29"/>
      <w:jc w:val="center"/>
      <w:outlineLvl w:val="0"/>
    </w:pPr>
    <w:rPr>
      <w:rFonts w:eastAsia="Lato"/>
      <w:b/>
      <w:smallCaps/>
      <w:noProof/>
      <w:color w:val="1D385B"/>
      <w:sz w:val="32"/>
      <w:szCs w:val="32"/>
    </w:rPr>
  </w:style>
  <w:style w:type="paragraph" w:styleId="Heading2">
    <w:name w:val="heading 2"/>
    <w:aliases w:val="header 1.1,2 headline,h,hd2,h2,H2,H21,H22,H23,H211,H221,H24,H212,H222,H231,H2111,H2211,H25,H213,H223,H232,H2112,H2212,H26,H214,H224,H233,H2113,H2213,H27,H215,H225,H234,H2114,H2214,H28,H216,H226,H235,H2115,H2215,H29,H217,H227,H236,H2116,H2216,2"/>
    <w:basedOn w:val="BodyText"/>
    <w:link w:val="Heading2Char"/>
    <w:unhideWhenUsed/>
    <w:qFormat/>
    <w:rsid w:val="009567CA"/>
    <w:pPr>
      <w:keepNext/>
      <w:keepLines/>
      <w:widowControl/>
      <w:numPr>
        <w:ilvl w:val="1"/>
        <w:numId w:val="1"/>
      </w:numPr>
      <w:autoSpaceDE/>
      <w:autoSpaceDN/>
      <w:spacing w:before="480" w:after="240" w:line="276" w:lineRule="auto"/>
      <w:ind w:left="720" w:right="720" w:hanging="720"/>
      <w:jc w:val="both"/>
      <w:outlineLvl w:val="1"/>
    </w:pPr>
    <w:rPr>
      <w:rFonts w:eastAsia="Lato"/>
      <w:b/>
      <w:bCs/>
      <w:color w:val="1D385B"/>
    </w:rPr>
  </w:style>
  <w:style w:type="paragraph" w:styleId="Heading3">
    <w:name w:val="heading 3"/>
    <w:aliases w:val="Definition Term,3,hd3"/>
    <w:basedOn w:val="Normal"/>
    <w:uiPriority w:val="9"/>
    <w:unhideWhenUsed/>
    <w:qFormat/>
    <w:rsid w:val="00853BFF"/>
    <w:pPr>
      <w:spacing w:after="240"/>
      <w:outlineLvl w:val="2"/>
    </w:pPr>
    <w:rPr>
      <w:b/>
      <w:bCs/>
    </w:rPr>
  </w:style>
  <w:style w:type="paragraph" w:styleId="Heading4">
    <w:name w:val="heading 4"/>
    <w:aliases w:val="List Heading"/>
    <w:basedOn w:val="ListParagraph"/>
    <w:next w:val="Normal"/>
    <w:link w:val="Heading4Char"/>
    <w:uiPriority w:val="9"/>
    <w:unhideWhenUsed/>
    <w:qFormat/>
    <w:rsid w:val="009567CA"/>
    <w:pPr>
      <w:numPr>
        <w:numId w:val="2"/>
      </w:numPr>
      <w:outlineLvl w:val="3"/>
    </w:pPr>
    <w:rPr>
      <w:b/>
      <w:bCs/>
      <w:color w:val="1D385B"/>
    </w:rPr>
  </w:style>
  <w:style w:type="paragraph" w:styleId="Heading5">
    <w:name w:val="heading 5"/>
    <w:basedOn w:val="Normal"/>
    <w:next w:val="Normal"/>
    <w:link w:val="Heading5Char"/>
    <w:uiPriority w:val="9"/>
    <w:semiHidden/>
    <w:unhideWhenUsed/>
    <w:qFormat/>
    <w:rsid w:val="009567CA"/>
    <w:pPr>
      <w:keepNext/>
      <w:keepLines/>
      <w:spacing w:before="40" w:after="0"/>
      <w:outlineLvl w:val="4"/>
    </w:pPr>
    <w:rPr>
      <w:rFonts w:asciiTheme="majorHAnsi" w:hAnsiTheme="majorHAnsi" w:eastAsiaTheme="majorEastAsia" w:cstheme="majorBidi"/>
      <w:color w:val="1D385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151"/>
      <w:ind w:left="140"/>
    </w:pPr>
  </w:style>
  <w:style w:type="paragraph" w:styleId="TOC2">
    <w:name w:val="toc 2"/>
    <w:basedOn w:val="Normal"/>
    <w:uiPriority w:val="39"/>
    <w:qFormat/>
    <w:pPr>
      <w:spacing w:before="153"/>
      <w:ind w:left="365"/>
    </w:pPr>
  </w:style>
  <w:style w:type="paragraph" w:styleId="TOC3">
    <w:name w:val="toc 3"/>
    <w:basedOn w:val="Normal"/>
    <w:uiPriority w:val="39"/>
    <w:qFormat/>
    <w:pPr>
      <w:spacing w:before="152"/>
      <w:ind w:left="574"/>
    </w:pPr>
  </w:style>
  <w:style w:type="paragraph" w:styleId="BodyText">
    <w:name w:val="Body Text"/>
    <w:basedOn w:val="Normal"/>
    <w:link w:val="BodyTextChar"/>
    <w:uiPriority w:val="1"/>
    <w:qFormat/>
  </w:style>
  <w:style w:type="paragraph" w:styleId="Title">
    <w:name w:val="Title"/>
    <w:basedOn w:val="Normal"/>
    <w:uiPriority w:val="10"/>
    <w:qFormat/>
    <w:pPr>
      <w:spacing w:before="87"/>
      <w:ind w:left="140"/>
    </w:pPr>
    <w:rPr>
      <w:rFonts w:ascii="Arial Narrow" w:hAnsi="Arial Narrow" w:eastAsia="Arial Narrow" w:cs="Arial Narrow"/>
      <w:sz w:val="36"/>
      <w:szCs w:val="36"/>
    </w:rPr>
  </w:style>
  <w:style w:type="paragraph" w:styleId="ListParagraph">
    <w:name w:val="List Paragraph"/>
    <w:basedOn w:val="Normal"/>
    <w:uiPriority w:val="1"/>
    <w:qFormat/>
    <w:rsid w:val="00374DD8"/>
    <w:pPr>
      <w:numPr>
        <w:numId w:val="3"/>
      </w:numPr>
      <w:spacing w:after="240"/>
    </w:pPr>
  </w:style>
  <w:style w:type="paragraph" w:styleId="TableParagraph" w:customStyle="1">
    <w:name w:val="Table Paragraph"/>
    <w:basedOn w:val="Normal"/>
    <w:uiPriority w:val="1"/>
    <w:qFormat/>
    <w:pPr>
      <w:ind w:left="121"/>
    </w:pPr>
  </w:style>
  <w:style w:type="paragraph" w:styleId="Header">
    <w:name w:val="header"/>
    <w:basedOn w:val="Normal"/>
    <w:link w:val="HeaderChar"/>
    <w:uiPriority w:val="99"/>
    <w:unhideWhenUsed/>
    <w:rsid w:val="00E1234F"/>
    <w:pPr>
      <w:tabs>
        <w:tab w:val="center" w:pos="4680"/>
        <w:tab w:val="right" w:pos="9360"/>
      </w:tabs>
    </w:pPr>
  </w:style>
  <w:style w:type="character" w:styleId="HeaderChar" w:customStyle="1">
    <w:name w:val="Header Char"/>
    <w:basedOn w:val="DefaultParagraphFont"/>
    <w:link w:val="Header"/>
    <w:uiPriority w:val="99"/>
    <w:rsid w:val="00E1234F"/>
    <w:rPr>
      <w:rFonts w:ascii="Arial" w:hAnsi="Arial" w:eastAsia="Arial" w:cs="Arial"/>
    </w:rPr>
  </w:style>
  <w:style w:type="paragraph" w:styleId="Footer">
    <w:name w:val="footer"/>
    <w:basedOn w:val="Normal"/>
    <w:link w:val="FooterChar"/>
    <w:uiPriority w:val="99"/>
    <w:unhideWhenUsed/>
    <w:rsid w:val="00E1234F"/>
    <w:pPr>
      <w:tabs>
        <w:tab w:val="center" w:pos="4680"/>
        <w:tab w:val="right" w:pos="9360"/>
      </w:tabs>
    </w:pPr>
  </w:style>
  <w:style w:type="character" w:styleId="FooterChar" w:customStyle="1">
    <w:name w:val="Footer Char"/>
    <w:basedOn w:val="DefaultParagraphFont"/>
    <w:link w:val="Footer"/>
    <w:uiPriority w:val="99"/>
    <w:rsid w:val="00E1234F"/>
    <w:rPr>
      <w:rFonts w:ascii="Arial" w:hAnsi="Arial" w:eastAsia="Arial" w:cs="Arial"/>
    </w:rPr>
  </w:style>
  <w:style w:type="table" w:styleId="TableGrid1" w:customStyle="1">
    <w:name w:val="Table Grid1"/>
    <w:basedOn w:val="TableNormal"/>
    <w:next w:val="TableGrid"/>
    <w:rsid w:val="00FE78B4"/>
    <w:pPr>
      <w:widowControl/>
      <w:autoSpaceDE/>
      <w:autoSpaceDN/>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FE78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Defintion Text"/>
    <w:basedOn w:val="Normal"/>
    <w:uiPriority w:val="1"/>
    <w:qFormat/>
    <w:rsid w:val="00853BFF"/>
    <w:pPr>
      <w:spacing w:after="240"/>
    </w:pPr>
  </w:style>
  <w:style w:type="paragraph" w:styleId="TOCHeading">
    <w:name w:val="TOC Heading"/>
    <w:basedOn w:val="Heading1"/>
    <w:next w:val="Normal"/>
    <w:uiPriority w:val="39"/>
    <w:unhideWhenUsed/>
    <w:qFormat/>
    <w:rsid w:val="00A5435A"/>
    <w:pPr>
      <w:keepLines/>
      <w:spacing w:before="240" w:line="259" w:lineRule="auto"/>
      <w:outlineLvl w:val="9"/>
    </w:pPr>
    <w:rPr>
      <w:rFonts w:asciiTheme="majorHAnsi" w:hAnsiTheme="majorHAnsi" w:eastAsiaTheme="majorEastAsia" w:cstheme="majorBidi"/>
      <w:b w:val="0"/>
      <w:bCs/>
      <w:i/>
    </w:rPr>
  </w:style>
  <w:style w:type="character" w:styleId="Hyperlink">
    <w:name w:val="Hyperlink"/>
    <w:basedOn w:val="DefaultParagraphFont"/>
    <w:uiPriority w:val="99"/>
    <w:unhideWhenUsed/>
    <w:rsid w:val="00A5435A"/>
    <w:rPr>
      <w:color w:val="0000FF" w:themeColor="hyperlink"/>
      <w:u w:val="single"/>
    </w:rPr>
  </w:style>
  <w:style w:type="character" w:styleId="Heading2Char" w:customStyle="1">
    <w:name w:val="Heading 2 Char"/>
    <w:aliases w:val="header 1.1 Char,2 headline Char,h Char,hd2 Char,h2 Char,H2 Char,H21 Char,H22 Char,H23 Char,H211 Char,H221 Char,H24 Char,H212 Char,H222 Char,H231 Char,H2111 Char,H2211 Char,H25 Char,H213 Char,H223 Char,H232 Char,H2112 Char,H2212 Char"/>
    <w:basedOn w:val="DefaultParagraphFont"/>
    <w:link w:val="Heading2"/>
    <w:rsid w:val="009567CA"/>
    <w:rPr>
      <w:rFonts w:ascii="Times New Roman" w:hAnsi="Times New Roman" w:eastAsia="Lato" w:cs="Times New Roman"/>
      <w:b/>
      <w:bCs/>
      <w:color w:val="1D385B"/>
      <w:sz w:val="24"/>
      <w:szCs w:val="24"/>
    </w:rPr>
  </w:style>
  <w:style w:type="paragraph" w:styleId="Default" w:customStyle="1">
    <w:name w:val="Default"/>
    <w:rsid w:val="00F52C1F"/>
    <w:pPr>
      <w:widowControl/>
      <w:adjustRightInd w:val="0"/>
    </w:pPr>
    <w:rPr>
      <w:rFonts w:ascii="Calibri" w:hAnsi="Calibri" w:cs="Calibri"/>
      <w:color w:val="000000"/>
      <w:sz w:val="24"/>
      <w:szCs w:val="24"/>
    </w:rPr>
  </w:style>
  <w:style w:type="character" w:styleId="BodyTextChar" w:customStyle="1">
    <w:name w:val="Body Text Char"/>
    <w:basedOn w:val="DefaultParagraphFont"/>
    <w:link w:val="BodyText"/>
    <w:uiPriority w:val="1"/>
    <w:rsid w:val="008B1700"/>
    <w:rPr>
      <w:rFonts w:ascii="Times New Roman" w:hAnsi="Times New Roman" w:eastAsia="Arial" w:cs="Times New Roman"/>
      <w:sz w:val="24"/>
      <w:szCs w:val="24"/>
    </w:rPr>
  </w:style>
  <w:style w:type="character" w:styleId="Heading4Char" w:customStyle="1">
    <w:name w:val="Heading 4 Char"/>
    <w:aliases w:val="List Heading Char"/>
    <w:basedOn w:val="DefaultParagraphFont"/>
    <w:link w:val="Heading4"/>
    <w:uiPriority w:val="9"/>
    <w:rsid w:val="009567CA"/>
    <w:rPr>
      <w:rFonts w:ascii="Times New Roman" w:hAnsi="Times New Roman" w:eastAsia="Arial" w:cs="Times New Roman"/>
      <w:b/>
      <w:bCs/>
      <w:color w:val="1D385B"/>
      <w:sz w:val="24"/>
      <w:szCs w:val="24"/>
    </w:rPr>
  </w:style>
  <w:style w:type="paragraph" w:styleId="DefinitionTerms" w:customStyle="1">
    <w:name w:val="Definition Terms"/>
    <w:basedOn w:val="Normal"/>
    <w:link w:val="DefinitionTermsChar"/>
    <w:qFormat/>
    <w:rsid w:val="004C21F5"/>
    <w:pPr>
      <w:spacing w:after="240"/>
    </w:pPr>
    <w:rPr>
      <w:b/>
      <w:bCs/>
    </w:rPr>
  </w:style>
  <w:style w:type="character" w:styleId="DefinitionTermsChar" w:customStyle="1">
    <w:name w:val="Definition Terms Char"/>
    <w:basedOn w:val="DefaultParagraphFont"/>
    <w:link w:val="DefinitionTerms"/>
    <w:rsid w:val="004C21F5"/>
    <w:rPr>
      <w:rFonts w:ascii="Times New Roman" w:hAnsi="Times New Roman" w:eastAsia="Arial" w:cs="Times New Roman"/>
      <w:b/>
      <w:bCs/>
      <w:sz w:val="24"/>
      <w:szCs w:val="24"/>
    </w:rPr>
  </w:style>
  <w:style w:type="paragraph" w:styleId="NormalWeb">
    <w:name w:val="Normal (Web)"/>
    <w:basedOn w:val="Normal"/>
    <w:uiPriority w:val="99"/>
    <w:semiHidden/>
    <w:unhideWhenUsed/>
    <w:rsid w:val="00100AF4"/>
    <w:pPr>
      <w:widowControl/>
      <w:autoSpaceDE/>
      <w:autoSpaceDN/>
      <w:spacing w:before="100" w:beforeAutospacing="1" w:after="100" w:afterAutospacing="1"/>
    </w:pPr>
    <w:rPr>
      <w:rFonts w:eastAsia="Times New Roman"/>
    </w:rPr>
  </w:style>
  <w:style w:type="paragraph" w:styleId="Caption">
    <w:name w:val="caption"/>
    <w:basedOn w:val="Normal"/>
    <w:next w:val="Normal"/>
    <w:uiPriority w:val="35"/>
    <w:unhideWhenUsed/>
    <w:qFormat/>
    <w:rsid w:val="009567CA"/>
    <w:pPr>
      <w:widowControl/>
      <w:autoSpaceDE/>
      <w:autoSpaceDN/>
      <w:spacing w:after="200"/>
    </w:pPr>
    <w:rPr>
      <w:rFonts w:asciiTheme="minorHAnsi" w:hAnsiTheme="minorHAnsi" w:eastAsiaTheme="minorHAnsi" w:cstheme="minorBidi"/>
      <w:i/>
      <w:iCs/>
      <w:color w:val="1D385B"/>
      <w:sz w:val="18"/>
      <w:szCs w:val="18"/>
    </w:rPr>
  </w:style>
  <w:style w:type="character" w:styleId="Heading5Char" w:customStyle="1">
    <w:name w:val="Heading 5 Char"/>
    <w:basedOn w:val="DefaultParagraphFont"/>
    <w:link w:val="Heading5"/>
    <w:uiPriority w:val="9"/>
    <w:semiHidden/>
    <w:rsid w:val="009567CA"/>
    <w:rPr>
      <w:rFonts w:asciiTheme="majorHAnsi" w:hAnsiTheme="majorHAnsi" w:eastAsiaTheme="majorEastAsia" w:cstheme="majorBidi"/>
      <w:color w:val="1D385B"/>
      <w:sz w:val="24"/>
      <w:szCs w:val="24"/>
    </w:rPr>
  </w:style>
  <w:style w:type="character" w:styleId="IntenseEmphasis">
    <w:name w:val="Intense Emphasis"/>
    <w:basedOn w:val="DefaultParagraphFont"/>
    <w:uiPriority w:val="21"/>
    <w:qFormat/>
    <w:rsid w:val="009567CA"/>
    <w:rPr>
      <w:i/>
      <w:iCs/>
      <w:color w:val="1D385B"/>
    </w:rPr>
  </w:style>
  <w:style w:type="paragraph" w:styleId="IntenseQuote">
    <w:name w:val="Intense Quote"/>
    <w:basedOn w:val="Normal"/>
    <w:next w:val="Normal"/>
    <w:link w:val="IntenseQuoteChar"/>
    <w:uiPriority w:val="30"/>
    <w:qFormat/>
    <w:rsid w:val="009567CA"/>
    <w:pPr>
      <w:pBdr>
        <w:top w:val="single" w:color="4F81BD" w:themeColor="accent1" w:sz="4" w:space="10"/>
        <w:bottom w:val="single" w:color="4F81BD" w:themeColor="accent1" w:sz="4" w:space="10"/>
      </w:pBdr>
      <w:spacing w:before="360" w:after="360"/>
      <w:ind w:left="864" w:right="864"/>
      <w:jc w:val="center"/>
    </w:pPr>
    <w:rPr>
      <w:i/>
      <w:iCs/>
      <w:color w:val="1D385B"/>
    </w:rPr>
  </w:style>
  <w:style w:type="character" w:styleId="IntenseQuoteChar" w:customStyle="1">
    <w:name w:val="Intense Quote Char"/>
    <w:basedOn w:val="DefaultParagraphFont"/>
    <w:link w:val="IntenseQuote"/>
    <w:uiPriority w:val="30"/>
    <w:rsid w:val="009567CA"/>
    <w:rPr>
      <w:rFonts w:ascii="Times New Roman" w:hAnsi="Times New Roman" w:eastAsia="Arial" w:cs="Times New Roman"/>
      <w:i/>
      <w:iCs/>
      <w:color w:val="1D385B"/>
      <w:sz w:val="24"/>
      <w:szCs w:val="24"/>
    </w:rPr>
  </w:style>
  <w:style w:type="character" w:styleId="normaltextrun" w:customStyle="1">
    <w:name w:val="normaltextrun"/>
    <w:basedOn w:val="DefaultParagraphFont"/>
    <w:rsid w:val="006F6811"/>
  </w:style>
  <w:style w:type="character" w:styleId="eop" w:customStyle="1">
    <w:name w:val="eop"/>
    <w:basedOn w:val="DefaultParagraphFont"/>
    <w:rsid w:val="006F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89804">
      <w:bodyDiv w:val="1"/>
      <w:marLeft w:val="0"/>
      <w:marRight w:val="0"/>
      <w:marTop w:val="0"/>
      <w:marBottom w:val="0"/>
      <w:divBdr>
        <w:top w:val="none" w:sz="0" w:space="0" w:color="auto"/>
        <w:left w:val="none" w:sz="0" w:space="0" w:color="auto"/>
        <w:bottom w:val="none" w:sz="0" w:space="0" w:color="auto"/>
        <w:right w:val="none" w:sz="0" w:space="0" w:color="auto"/>
      </w:divBdr>
    </w:div>
    <w:div w:id="1075788054">
      <w:bodyDiv w:val="1"/>
      <w:marLeft w:val="0"/>
      <w:marRight w:val="0"/>
      <w:marTop w:val="0"/>
      <w:marBottom w:val="0"/>
      <w:divBdr>
        <w:top w:val="none" w:sz="0" w:space="0" w:color="auto"/>
        <w:left w:val="none" w:sz="0" w:space="0" w:color="auto"/>
        <w:bottom w:val="none" w:sz="0" w:space="0" w:color="auto"/>
        <w:right w:val="none" w:sz="0" w:space="0" w:color="auto"/>
      </w:divBdr>
    </w:div>
    <w:div w:id="1078133295">
      <w:bodyDiv w:val="1"/>
      <w:marLeft w:val="0"/>
      <w:marRight w:val="0"/>
      <w:marTop w:val="0"/>
      <w:marBottom w:val="0"/>
      <w:divBdr>
        <w:top w:val="none" w:sz="0" w:space="0" w:color="auto"/>
        <w:left w:val="none" w:sz="0" w:space="0" w:color="auto"/>
        <w:bottom w:val="none" w:sz="0" w:space="0" w:color="auto"/>
        <w:right w:val="none" w:sz="0" w:space="0" w:color="auto"/>
      </w:divBdr>
    </w:div>
    <w:div w:id="184204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4.jpg"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53f57f-bd2c-40ff-80d2-3d1d1a5a38fb">
      <UserInfo>
        <DisplayName>Insana Collins</DisplayName>
        <AccountId>19</AccountId>
        <AccountType/>
      </UserInfo>
      <UserInfo>
        <DisplayName>Ramona Lewis</DisplayName>
        <AccountId>15</AccountId>
        <AccountType/>
      </UserInfo>
      <UserInfo>
        <DisplayName>Marrio McLaurin</DisplayName>
        <AccountId>16</AccountId>
        <AccountType/>
      </UserInfo>
    </SharedWithUsers>
    <lcf76f155ced4ddcb4097134ff3c332f xmlns="84674a97-74a8-4419-a01c-1349cce2654e">
      <Terms xmlns="http://schemas.microsoft.com/office/infopath/2007/PartnerControls"/>
    </lcf76f155ced4ddcb4097134ff3c332f>
    <TaxCatchAll xmlns="4d53f57f-bd2c-40ff-80d2-3d1d1a5a38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AF8D95503AEE46B3A46E0177CC89D8" ma:contentTypeVersion="16" ma:contentTypeDescription="Create a new document." ma:contentTypeScope="" ma:versionID="be4fc8da8acb876a6cd0cca9f25255b0">
  <xsd:schema xmlns:xsd="http://www.w3.org/2001/XMLSchema" xmlns:xs="http://www.w3.org/2001/XMLSchema" xmlns:p="http://schemas.microsoft.com/office/2006/metadata/properties" xmlns:ns2="84674a97-74a8-4419-a01c-1349cce2654e" xmlns:ns3="4d53f57f-bd2c-40ff-80d2-3d1d1a5a38fb" targetNamespace="http://schemas.microsoft.com/office/2006/metadata/properties" ma:root="true" ma:fieldsID="69c6e7840aace6b8e0b350dd01e0223f" ns2:_="" ns3:_="">
    <xsd:import namespace="84674a97-74a8-4419-a01c-1349cce2654e"/>
    <xsd:import namespace="4d53f57f-bd2c-40ff-80d2-3d1d1a5a3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74a97-74a8-4419-a01c-1349cce26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196618-1c3e-4275-9348-e02554efd4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3f57f-bd2c-40ff-80d2-3d1d1a5a3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5891eb-3e4e-4230-aa9e-5238a7cf9104}" ma:internalName="TaxCatchAll" ma:showField="CatchAllData" ma:web="4d53f57f-bd2c-40ff-80d2-3d1d1a5a3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F232-7EEA-4E73-9FCA-EA6D24467974}">
  <ds:schemaRefs>
    <ds:schemaRef ds:uri="http://schemas.microsoft.com/office/2006/metadata/properties"/>
    <ds:schemaRef ds:uri="http://schemas.microsoft.com/office/infopath/2007/PartnerControls"/>
    <ds:schemaRef ds:uri="4d53f57f-bd2c-40ff-80d2-3d1d1a5a38fb"/>
    <ds:schemaRef ds:uri="84674a97-74a8-4419-a01c-1349cce2654e"/>
  </ds:schemaRefs>
</ds:datastoreItem>
</file>

<file path=customXml/itemProps2.xml><?xml version="1.0" encoding="utf-8"?>
<ds:datastoreItem xmlns:ds="http://schemas.openxmlformats.org/officeDocument/2006/customXml" ds:itemID="{49806EE3-7666-4AAE-AB12-F69B6BADE2BC}">
  <ds:schemaRefs>
    <ds:schemaRef ds:uri="http://schemas.microsoft.com/sharepoint/v3/contenttype/forms"/>
  </ds:schemaRefs>
</ds:datastoreItem>
</file>

<file path=customXml/itemProps3.xml><?xml version="1.0" encoding="utf-8"?>
<ds:datastoreItem xmlns:ds="http://schemas.openxmlformats.org/officeDocument/2006/customXml" ds:itemID="{ECE53CA2-222D-42B4-AC53-18765A5A0F7B}"/>
</file>

<file path=customXml/itemProps4.xml><?xml version="1.0" encoding="utf-8"?>
<ds:datastoreItem xmlns:ds="http://schemas.openxmlformats.org/officeDocument/2006/customXml" ds:itemID="{10B061CE-B041-4366-A229-9B14262927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Aid: Introduction to RMF for Special Access Programs (SAPs)</dc:title>
  <dc:subject/>
  <dc:creator>Center for Development of Security Excellence (CDSE)</dc:creator>
  <keywords/>
  <lastModifiedBy>Insana Collins</lastModifiedBy>
  <revision>6</revision>
  <lastPrinted>2023-05-04T18:22:00.0000000Z</lastPrinted>
  <dcterms:created xsi:type="dcterms:W3CDTF">2024-02-25T21:59:00.0000000Z</dcterms:created>
  <dcterms:modified xsi:type="dcterms:W3CDTF">2025-05-21T22:11:05.5471033Z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2021-03-30T00:00:00Z</vt:filetime>
  </property>
  <property fmtid="{D5CDD505-2E9C-101B-9397-08002B2CF9AE}" pid="4" name="ContentTypeId">
    <vt:lpwstr>0x01010096AF8D95503AEE46B3A46E0177CC89D8</vt:lpwstr>
  </property>
  <property fmtid="{D5CDD505-2E9C-101B-9397-08002B2CF9AE}" pid="5" name="MediaServiceImageTags">
    <vt:lpwstr/>
  </property>
  <property fmtid="{D5CDD505-2E9C-101B-9397-08002B2CF9AE}" pid="6" name="GrammarlyDocumentId">
    <vt:lpwstr>91faa52ed949d35afd231a5c9d383f1787a21c1cc630d81d6e697220818aacf6</vt:lpwstr>
  </property>
</Properties>
</file>